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9" w:afterLines="80"/>
        <w:jc w:val="center"/>
        <w:rPr>
          <w:rFonts w:ascii="黑体" w:hAnsi="黑体" w:eastAsia="黑体" w:cs="宋体"/>
          <w:b/>
          <w:bCs/>
          <w:sz w:val="32"/>
          <w:szCs w:val="32"/>
        </w:rPr>
      </w:pPr>
      <w:r>
        <w:rPr>
          <w:rFonts w:hint="eastAsia" w:ascii="黑体" w:hAnsi="黑体" w:eastAsia="黑体" w:cs="宋体"/>
          <w:b/>
          <w:bCs/>
          <w:sz w:val="32"/>
          <w:szCs w:val="32"/>
        </w:rPr>
        <w:t>202</w:t>
      </w:r>
      <w:r>
        <w:rPr>
          <w:rFonts w:hint="eastAsia" w:ascii="黑体" w:hAnsi="黑体" w:eastAsia="黑体" w:cs="宋体"/>
          <w:b/>
          <w:bCs/>
          <w:sz w:val="32"/>
          <w:szCs w:val="32"/>
          <w:lang w:val="en-US" w:eastAsia="zh-CN"/>
        </w:rPr>
        <w:t>3</w:t>
      </w:r>
      <w:r>
        <w:rPr>
          <w:rFonts w:hint="eastAsia" w:ascii="黑体" w:hAnsi="黑体" w:eastAsia="黑体" w:cs="宋体"/>
          <w:b/>
          <w:bCs/>
          <w:sz w:val="32"/>
          <w:szCs w:val="32"/>
        </w:rPr>
        <w:t>年网络专题课程出版规划</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
        <w:gridCol w:w="6369"/>
        <w:gridCol w:w="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rPr>
              <w:t xml:space="preserve">一、 </w:t>
            </w:r>
            <w:r>
              <w:rPr>
                <w:rFonts w:hint="eastAsia" w:ascii="黑体" w:hAnsi="黑体" w:eastAsia="黑体" w:cs="仿宋"/>
                <w:b/>
                <w:sz w:val="24"/>
                <w:lang w:val="en-US" w:eastAsia="zh-CN"/>
              </w:rPr>
              <w:t>习近平新时代中国特色社会主义思想主题教育</w:t>
            </w:r>
            <w:r>
              <w:rPr>
                <w:rFonts w:hint="eastAsia" w:ascii="黑体" w:hAnsi="黑体" w:eastAsia="黑体" w:cs="仿宋"/>
                <w:b/>
                <w:sz w:val="24"/>
              </w:rPr>
              <w:t>系列课程（1</w:t>
            </w:r>
            <w:r>
              <w:rPr>
                <w:rFonts w:hint="eastAsia" w:ascii="黑体" w:hAnsi="黑体" w:eastAsia="黑体" w:cs="仿宋"/>
                <w:b/>
                <w:sz w:val="24"/>
                <w:lang w:val="en-US" w:eastAsia="zh-CN"/>
              </w:rPr>
              <w:t>1</w:t>
            </w:r>
            <w:r>
              <w:rPr>
                <w:rFonts w:hint="eastAsia" w:ascii="黑体" w:hAnsi="黑体" w:eastAsia="黑体" w:cs="仿宋"/>
                <w:b/>
                <w:sz w:val="24"/>
              </w:rPr>
              <w:t>学时）</w:t>
            </w:r>
          </w:p>
          <w:p>
            <w:pPr>
              <w:spacing w:after="156" w:afterLines="50" w:line="360" w:lineRule="auto"/>
              <w:ind w:left="97" w:leftChars="46" w:firstLine="482" w:firstLineChars="200"/>
              <w:rPr>
                <w:rFonts w:ascii="宋体" w:hAnsi="宋体" w:cs="宋体"/>
                <w:color w:val="000000" w:themeColor="text1"/>
                <w:sz w:val="24"/>
                <w14:textFill>
                  <w14:solidFill>
                    <w14:schemeClr w14:val="tx1"/>
                  </w14:solidFill>
                </w14:textFill>
              </w:rPr>
            </w:pPr>
            <w:r>
              <w:rPr>
                <w:rFonts w:hint="eastAsia"/>
                <w:b/>
                <w:sz w:val="24"/>
              </w:rPr>
              <w:t>专题介绍：</w:t>
            </w:r>
            <w:r>
              <w:rPr>
                <w:rFonts w:hint="eastAsia" w:ascii="宋体" w:hAnsi="宋体" w:cs="宋体"/>
                <w:color w:val="000000" w:themeColor="text1"/>
                <w:sz w:val="24"/>
                <w14:textFill>
                  <w14:solidFill>
                    <w14:schemeClr w14:val="tx1"/>
                  </w14:solidFill>
                </w14:textFill>
              </w:rPr>
              <w:t>在全党深入开展学习贯彻习近平新时代中国特色社会主义思想主题教育，是推动贯彻党的二十大战略部署的有力举措，是深入推进新时代党的建设新的伟大工程的重大部署，对于贯彻新发展理念、构建新发展格局、推动高质量发展，推进中国式现代化，推进党的自我革命、时刻保持解决大党独有难题的清醒和坚定，始终与人民同心，保持党的先进性和纯洁性，使全党更加紧密地团结在以习近平同志为核心的党中央周围，完成党在新时代新征程的使命任务，具有十分重大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shd w:val="clear" w:color="auto" w:fill="5B9BD5" w:themeFill="accent1"/>
            <w:vAlign w:val="center"/>
          </w:tcPr>
          <w:p>
            <w:pPr>
              <w:jc w:val="center"/>
              <w:rPr>
                <w:b/>
              </w:rPr>
            </w:pPr>
            <w:r>
              <w:rPr>
                <w:rFonts w:hint="eastAsia"/>
                <w:b/>
              </w:rPr>
              <w:t>序号</w:t>
            </w:r>
          </w:p>
        </w:tc>
        <w:tc>
          <w:tcPr>
            <w:tcW w:w="6375" w:type="dxa"/>
            <w:gridSpan w:val="2"/>
            <w:shd w:val="clear" w:color="auto" w:fill="5B9BD5" w:themeFill="accent1"/>
            <w:vAlign w:val="center"/>
          </w:tcPr>
          <w:p>
            <w:pPr>
              <w:jc w:val="center"/>
              <w:rPr>
                <w:b/>
              </w:rPr>
            </w:pPr>
            <w:r>
              <w:rPr>
                <w:rFonts w:hint="eastAsia"/>
                <w:b/>
              </w:rPr>
              <w:t>课程名称</w:t>
            </w:r>
          </w:p>
        </w:tc>
        <w:tc>
          <w:tcPr>
            <w:tcW w:w="1065" w:type="dxa"/>
            <w:shd w:val="clear" w:color="auto" w:fill="5B9BD5" w:themeFill="accent1"/>
            <w:vAlign w:val="center"/>
          </w:tcPr>
          <w:p>
            <w:pPr>
              <w:jc w:val="center"/>
              <w:rPr>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1</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习近平新时代中国特色社会主义思想的理论魅力和实践威力</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2</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习近亚新时代中国特色社会主义思想的科学体系和主要内容</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3</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习近平新时代中国特色社会主义思想的溯源</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4</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深刻把握“六个必须坚持”，坚持并运用好其中的立场观点方法</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5</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断增进“四个认同”，努力提高“政治三力”</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6</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自觉改造主观世界、始终保持政治本色一-深刻领会习近平新时代中国特色社会主义思想的要求</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7</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以改造客观世界、推动党的事业发展一-如何践行习近平新时代中国特色社会主义思想</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ascii="宋体" w:hAnsi="宋体" w:cs="宋体"/>
                <w:sz w:val="20"/>
                <w:szCs w:val="20"/>
              </w:rPr>
            </w:pPr>
            <w:r>
              <w:rPr>
                <w:rFonts w:hint="eastAsia" w:ascii="宋体" w:hAnsi="宋体" w:cs="宋体"/>
                <w:sz w:val="20"/>
                <w:szCs w:val="20"/>
              </w:rPr>
              <w:t>8</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从习近平新时代中国特色社会主义思想中汲取智慧和理论一-如何熟练掌握其中蕴含的领导方法、思想方法、工作方法</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9</w:t>
            </w:r>
          </w:p>
        </w:tc>
        <w:tc>
          <w:tcPr>
            <w:tcW w:w="6375" w:type="dxa"/>
            <w:gridSpan w:val="2"/>
            <w:vAlign w:val="center"/>
          </w:tcPr>
          <w:p>
            <w:pPr>
              <w:keepNext w:val="0"/>
              <w:keepLines w:val="0"/>
              <w:widowControl/>
              <w:suppressLineNumbers w:val="0"/>
              <w:jc w:val="left"/>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以学正风、以学促干，坚持不懈用党的创新理论锤炼党性、推动发展</w:t>
            </w:r>
          </w:p>
        </w:tc>
        <w:tc>
          <w:tcPr>
            <w:tcW w:w="1065" w:type="dxa"/>
          </w:tcPr>
          <w:p>
            <w:pPr>
              <w:rPr>
                <w:rFonts w:hint="eastAsia"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6375" w:type="dxa"/>
            <w:gridSpan w:val="2"/>
            <w:vAlign w:val="center"/>
          </w:tcPr>
          <w:p>
            <w:pPr>
              <w:keepNext w:val="0"/>
              <w:keepLines w:val="0"/>
              <w:widowControl/>
              <w:suppressLineNumbers w:val="0"/>
              <w:jc w:val="left"/>
              <w:textAlignment w:val="center"/>
              <w:rPr>
                <w:rFonts w:hint="eastAsia"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习近平科学的思想方法和工作方法</w:t>
            </w:r>
          </w:p>
        </w:tc>
        <w:tc>
          <w:tcPr>
            <w:tcW w:w="1065" w:type="dxa"/>
          </w:tcPr>
          <w:p>
            <w:pPr>
              <w:rPr>
                <w:rFonts w:hint="eastAsia"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gridSpan w:val="2"/>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11</w:t>
            </w:r>
          </w:p>
        </w:tc>
        <w:tc>
          <w:tcPr>
            <w:tcW w:w="6375" w:type="dxa"/>
            <w:gridSpan w:val="2"/>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习近平新时代中国特色社会主义思想的世界观和方法论</w:t>
            </w:r>
          </w:p>
        </w:tc>
        <w:tc>
          <w:tcPr>
            <w:tcW w:w="1065" w:type="dxa"/>
          </w:tcPr>
          <w:p>
            <w:pPr>
              <w:rPr>
                <w:rFonts w:ascii="宋体" w:hAnsi="宋体" w:cs="宋体"/>
                <w:sz w:val="20"/>
                <w:szCs w:val="20"/>
              </w:rPr>
            </w:pPr>
            <w:r>
              <w:rPr>
                <w:rFonts w:hint="eastAsia" w:ascii="宋体" w:hAnsi="宋体" w:cs="宋体"/>
                <w:sz w:val="20"/>
                <w:szCs w:val="20"/>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rPr>
              <w:t>二、202</w:t>
            </w:r>
            <w:r>
              <w:rPr>
                <w:rFonts w:hint="eastAsia" w:ascii="黑体" w:hAnsi="黑体" w:eastAsia="黑体" w:cs="仿宋"/>
                <w:b/>
                <w:sz w:val="24"/>
                <w:lang w:val="en-US" w:eastAsia="zh-CN"/>
              </w:rPr>
              <w:t>3</w:t>
            </w:r>
            <w:r>
              <w:rPr>
                <w:rFonts w:hint="eastAsia" w:ascii="黑体" w:hAnsi="黑体" w:eastAsia="黑体" w:cs="仿宋"/>
                <w:b/>
                <w:sz w:val="24"/>
              </w:rPr>
              <w:t>两会精神解读系列课程（</w:t>
            </w:r>
            <w:r>
              <w:rPr>
                <w:rFonts w:hint="eastAsia" w:ascii="黑体" w:hAnsi="黑体" w:eastAsia="黑体" w:cs="仿宋"/>
                <w:b/>
                <w:sz w:val="24"/>
                <w:lang w:val="en-US" w:eastAsia="zh-CN"/>
              </w:rPr>
              <w:t>5</w:t>
            </w:r>
            <w:r>
              <w:rPr>
                <w:rFonts w:ascii="黑体" w:hAnsi="黑体" w:eastAsia="黑体" w:cs="仿宋"/>
                <w:b/>
                <w:sz w:val="24"/>
              </w:rPr>
              <w:t>.5</w:t>
            </w:r>
            <w:r>
              <w:rPr>
                <w:rFonts w:hint="eastAsia" w:ascii="黑体" w:hAnsi="黑体" w:eastAsia="黑体" w:cs="仿宋"/>
                <w:b/>
                <w:sz w:val="24"/>
              </w:rPr>
              <w:t>学时）</w:t>
            </w:r>
          </w:p>
          <w:p>
            <w:pPr>
              <w:spacing w:after="156" w:afterLines="50" w:line="360" w:lineRule="auto"/>
              <w:ind w:firstLine="482" w:firstLineChars="200"/>
              <w:rPr>
                <w:rFonts w:ascii="黑体" w:hAnsi="黑体" w:eastAsia="黑体" w:cs="仿宋"/>
                <w:b/>
                <w:sz w:val="24"/>
              </w:rPr>
            </w:pPr>
            <w:r>
              <w:rPr>
                <w:rFonts w:hint="eastAsia"/>
                <w:b/>
                <w:sz w:val="24"/>
              </w:rPr>
              <w:t>专题介绍：</w:t>
            </w:r>
            <w:r>
              <w:rPr>
                <w:rFonts w:hint="eastAsia" w:ascii="宋体" w:hAnsi="宋体" w:cs="宋体"/>
                <w:color w:val="000000" w:themeColor="text1"/>
                <w:sz w:val="24"/>
                <w14:textFill>
                  <w14:solidFill>
                    <w14:schemeClr w14:val="tx1"/>
                  </w14:solidFill>
                </w14:textFill>
              </w:rPr>
              <w:t>2023年全国两会是党的二十大后召开的第一次全国两会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是全面贯彻落实党的二十大精神开局之年、踏上实现第二个百年奋斗目标新征程重要时刻召开的盛会，这</w:t>
            </w:r>
            <w:r>
              <w:rPr>
                <w:rFonts w:hint="eastAsia" w:ascii="宋体" w:hAnsi="宋体" w:cs="宋体"/>
                <w:color w:val="000000" w:themeColor="text1"/>
                <w:sz w:val="24"/>
                <w:lang w:val="en-US" w:eastAsia="zh-CN"/>
                <w14:textFill>
                  <w14:solidFill>
                    <w14:schemeClr w14:val="tx1"/>
                  </w14:solidFill>
                </w14:textFill>
              </w:rPr>
              <w:t>次两会</w:t>
            </w:r>
            <w:r>
              <w:rPr>
                <w:rFonts w:hint="eastAsia" w:ascii="宋体" w:hAnsi="宋体" w:cs="宋体"/>
                <w:color w:val="000000" w:themeColor="text1"/>
                <w:sz w:val="24"/>
                <w14:textFill>
                  <w14:solidFill>
                    <w14:schemeClr w14:val="tx1"/>
                  </w14:solidFill>
                </w14:textFill>
              </w:rPr>
              <w:t>把党的主张和人民意愿凝聚为国家意志，通过法定程序把党的二十大作出的决策部署转化为全国人民的实际行动，对贯彻落实习近平新时代中国特色社会主义思想和党的二十大精神，动员全党全国各族人民为全面建设社会主义现代化国家、全面推进中华民族伟大复兴而团结奋斗，具有十分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5B9BD5" w:themeFill="accent1"/>
            <w:vAlign w:val="center"/>
          </w:tcPr>
          <w:p>
            <w:pPr>
              <w:jc w:val="center"/>
              <w:rPr>
                <w:b/>
              </w:rPr>
            </w:pPr>
            <w:r>
              <w:rPr>
                <w:rFonts w:hint="eastAsia"/>
                <w:b/>
              </w:rPr>
              <w:t>序号</w:t>
            </w:r>
          </w:p>
        </w:tc>
        <w:tc>
          <w:tcPr>
            <w:tcW w:w="6379" w:type="dxa"/>
            <w:gridSpan w:val="2"/>
            <w:shd w:val="clear" w:color="auto" w:fill="5B9BD5" w:themeFill="accent1"/>
            <w:vAlign w:val="center"/>
          </w:tcPr>
          <w:p>
            <w:pPr>
              <w:jc w:val="center"/>
              <w:rPr>
                <w:b/>
              </w:rPr>
            </w:pPr>
            <w:r>
              <w:rPr>
                <w:rFonts w:hint="eastAsia"/>
                <w:b/>
              </w:rPr>
              <w:t>课程名称</w:t>
            </w:r>
          </w:p>
        </w:tc>
        <w:tc>
          <w:tcPr>
            <w:tcW w:w="1071" w:type="dxa"/>
            <w:gridSpan w:val="2"/>
            <w:shd w:val="clear" w:color="auto" w:fill="5B9BD5" w:themeFill="accent1"/>
            <w:vAlign w:val="center"/>
          </w:tcPr>
          <w:p>
            <w:pPr>
              <w:jc w:val="center"/>
              <w:rPr>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FFFFFF" w:themeFill="background1"/>
          </w:tcPr>
          <w:p>
            <w:pPr>
              <w:jc w:val="center"/>
              <w:rPr>
                <w:rFonts w:ascii="宋体" w:hAnsi="宋体" w:cs="宋体"/>
                <w:sz w:val="20"/>
                <w:szCs w:val="20"/>
              </w:rPr>
            </w:pPr>
            <w:r>
              <w:rPr>
                <w:rFonts w:hint="eastAsia" w:ascii="宋体" w:hAnsi="宋体" w:cs="宋体"/>
                <w:sz w:val="20"/>
                <w:szCs w:val="20"/>
              </w:rPr>
              <w:t>1</w:t>
            </w:r>
          </w:p>
        </w:tc>
        <w:tc>
          <w:tcPr>
            <w:tcW w:w="6379" w:type="dxa"/>
            <w:gridSpan w:val="2"/>
            <w:shd w:val="clear" w:color="auto" w:fill="FFFFFF" w:themeFill="background1"/>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激扬奋进力量 开创新的伟业--学习2023年全国“两会”精神解读（上）</w:t>
            </w:r>
          </w:p>
        </w:tc>
        <w:tc>
          <w:tcPr>
            <w:tcW w:w="1071" w:type="dxa"/>
            <w:gridSpan w:val="2"/>
            <w:shd w:val="clear" w:color="auto" w:fill="FFFFFF" w:themeFill="background1"/>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FFFFFF" w:themeFill="background1"/>
          </w:tcPr>
          <w:p>
            <w:pPr>
              <w:jc w:val="center"/>
              <w:rPr>
                <w:rFonts w:ascii="宋体" w:hAnsi="宋体" w:cs="宋体"/>
                <w:sz w:val="20"/>
                <w:szCs w:val="20"/>
              </w:rPr>
            </w:pPr>
            <w:r>
              <w:rPr>
                <w:rFonts w:hint="eastAsia" w:ascii="宋体" w:hAnsi="宋体" w:cs="宋体"/>
                <w:sz w:val="20"/>
                <w:szCs w:val="20"/>
              </w:rPr>
              <w:t>2</w:t>
            </w:r>
          </w:p>
        </w:tc>
        <w:tc>
          <w:tcPr>
            <w:tcW w:w="6379" w:type="dxa"/>
            <w:gridSpan w:val="2"/>
            <w:shd w:val="clear" w:color="auto" w:fill="FFFFFF" w:themeFill="background1"/>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激扬奋进力量 开创新的伟业--学习2023年全国“两会”精神解读（下）</w:t>
            </w:r>
          </w:p>
        </w:tc>
        <w:tc>
          <w:tcPr>
            <w:tcW w:w="1071" w:type="dxa"/>
            <w:gridSpan w:val="2"/>
            <w:shd w:val="clear" w:color="auto" w:fill="FFFFFF" w:themeFill="background1"/>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FFFFFF" w:themeFill="background1"/>
          </w:tcPr>
          <w:p>
            <w:pPr>
              <w:jc w:val="center"/>
              <w:rPr>
                <w:rFonts w:ascii="宋体" w:hAnsi="宋体" w:cs="宋体"/>
                <w:sz w:val="20"/>
                <w:szCs w:val="20"/>
              </w:rPr>
            </w:pPr>
            <w:r>
              <w:rPr>
                <w:rFonts w:hint="eastAsia" w:ascii="宋体" w:hAnsi="宋体" w:cs="宋体"/>
                <w:sz w:val="20"/>
                <w:szCs w:val="20"/>
              </w:rPr>
              <w:t>3</w:t>
            </w:r>
          </w:p>
        </w:tc>
        <w:tc>
          <w:tcPr>
            <w:tcW w:w="6379" w:type="dxa"/>
            <w:gridSpan w:val="2"/>
            <w:shd w:val="clear" w:color="auto" w:fill="FFFFFF" w:themeFill="background1"/>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2023年经济社会发展总体要求和主要预期目标</w:t>
            </w:r>
          </w:p>
        </w:tc>
        <w:tc>
          <w:tcPr>
            <w:tcW w:w="1071" w:type="dxa"/>
            <w:gridSpan w:val="2"/>
            <w:shd w:val="clear" w:color="auto" w:fill="FFFFFF" w:themeFill="background1"/>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FFFFFF" w:themeFill="background1"/>
          </w:tcPr>
          <w:p>
            <w:pPr>
              <w:jc w:val="center"/>
              <w:rPr>
                <w:rFonts w:ascii="宋体" w:hAnsi="宋体" w:cs="宋体"/>
                <w:sz w:val="20"/>
                <w:szCs w:val="20"/>
              </w:rPr>
            </w:pPr>
            <w:r>
              <w:rPr>
                <w:rFonts w:hint="eastAsia" w:ascii="宋体" w:hAnsi="宋体" w:cs="宋体"/>
                <w:sz w:val="20"/>
                <w:szCs w:val="20"/>
              </w:rPr>
              <w:t>4</w:t>
            </w:r>
          </w:p>
        </w:tc>
        <w:tc>
          <w:tcPr>
            <w:tcW w:w="6379" w:type="dxa"/>
            <w:gridSpan w:val="2"/>
            <w:shd w:val="clear" w:color="auto" w:fill="FFFFFF" w:themeFill="background1"/>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着力扩大国内需求，加快建设现代化产业体系</w:t>
            </w:r>
          </w:p>
        </w:tc>
        <w:tc>
          <w:tcPr>
            <w:tcW w:w="1071" w:type="dxa"/>
            <w:gridSpan w:val="2"/>
            <w:shd w:val="clear" w:color="auto" w:fill="FFFFFF" w:themeFill="background1"/>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FFFFFF" w:themeFill="background1"/>
          </w:tcPr>
          <w:p>
            <w:pPr>
              <w:jc w:val="center"/>
              <w:rPr>
                <w:rFonts w:ascii="宋体" w:hAnsi="宋体" w:cs="宋体"/>
                <w:sz w:val="20"/>
                <w:szCs w:val="20"/>
              </w:rPr>
            </w:pPr>
            <w:r>
              <w:rPr>
                <w:rFonts w:hint="eastAsia" w:ascii="宋体" w:hAnsi="宋体" w:cs="宋体"/>
                <w:sz w:val="20"/>
                <w:szCs w:val="20"/>
              </w:rPr>
              <w:t>5</w:t>
            </w:r>
          </w:p>
        </w:tc>
        <w:tc>
          <w:tcPr>
            <w:tcW w:w="6379" w:type="dxa"/>
            <w:gridSpan w:val="2"/>
            <w:shd w:val="clear" w:color="auto" w:fill="FFFFFF" w:themeFill="background1"/>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有效防范化解重大经济金融风险</w:t>
            </w:r>
          </w:p>
        </w:tc>
        <w:tc>
          <w:tcPr>
            <w:tcW w:w="1071" w:type="dxa"/>
            <w:gridSpan w:val="2"/>
            <w:shd w:val="clear" w:color="auto" w:fill="FFFFFF" w:themeFill="background1"/>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shd w:val="clear" w:color="auto" w:fill="FFFFFF" w:themeFill="background1"/>
          </w:tcPr>
          <w:p>
            <w:pPr>
              <w:spacing w:line="360" w:lineRule="auto"/>
              <w:jc w:val="left"/>
              <w:rPr>
                <w:rFonts w:ascii="黑体" w:hAnsi="黑体" w:eastAsia="黑体" w:cs="仿宋"/>
                <w:b/>
                <w:sz w:val="24"/>
              </w:rPr>
            </w:pPr>
            <w:r>
              <w:rPr>
                <w:rFonts w:hint="eastAsia" w:ascii="黑体" w:hAnsi="黑体" w:eastAsia="黑体" w:cs="仿宋"/>
                <w:b/>
                <w:sz w:val="24"/>
              </w:rPr>
              <w:t>三、</w:t>
            </w:r>
            <w:r>
              <w:rPr>
                <w:rFonts w:hint="eastAsia" w:ascii="黑体" w:hAnsi="黑体" w:eastAsia="黑体" w:cs="仿宋"/>
                <w:b/>
                <w:sz w:val="24"/>
                <w:lang w:val="en-US" w:eastAsia="zh-CN"/>
              </w:rPr>
              <w:t>纪检监察专题课程</w:t>
            </w:r>
            <w:r>
              <w:rPr>
                <w:rFonts w:hint="eastAsia" w:ascii="黑体" w:hAnsi="黑体" w:eastAsia="黑体" w:cs="仿宋"/>
                <w:b/>
                <w:sz w:val="24"/>
              </w:rPr>
              <w:t>（</w:t>
            </w:r>
            <w:r>
              <w:rPr>
                <w:rFonts w:hint="eastAsia" w:ascii="黑体" w:hAnsi="黑体" w:eastAsia="黑体" w:cs="仿宋"/>
                <w:b/>
                <w:sz w:val="24"/>
                <w:lang w:val="en-US" w:eastAsia="zh-CN"/>
              </w:rPr>
              <w:t>6学时</w:t>
            </w:r>
            <w:r>
              <w:rPr>
                <w:rFonts w:hint="eastAsia" w:ascii="黑体" w:hAnsi="黑体" w:eastAsia="黑体" w:cs="仿宋"/>
                <w:b/>
                <w:sz w:val="24"/>
              </w:rPr>
              <w:t>）</w:t>
            </w:r>
          </w:p>
          <w:p>
            <w:pPr>
              <w:spacing w:line="360" w:lineRule="auto"/>
              <w:ind w:left="97" w:leftChars="46" w:firstLine="482" w:firstLineChars="200"/>
              <w:rPr>
                <w:rFonts w:ascii="黑体" w:hAnsi="黑体" w:eastAsia="黑体" w:cs="仿宋"/>
                <w:b/>
                <w:sz w:val="24"/>
              </w:rPr>
            </w:pPr>
            <w:r>
              <w:rPr>
                <w:b/>
                <w:sz w:val="24"/>
              </w:rPr>
              <w:t>专题介绍：</w:t>
            </w:r>
            <w:r>
              <w:rPr>
                <w:rFonts w:hint="eastAsia" w:ascii="宋体" w:hAnsi="宋体" w:cs="宋体"/>
                <w:color w:val="000000" w:themeColor="text1"/>
                <w:sz w:val="24"/>
                <w:lang w:val="en-US" w:eastAsia="zh-CN"/>
                <w14:textFill>
                  <w14:solidFill>
                    <w14:schemeClr w14:val="tx1"/>
                  </w14:solidFill>
                </w14:textFill>
              </w:rPr>
              <w:t>党的二十大根据新形势新任务，作出“完善党的自我革命制度规范体系”重大部署，对“健全党统一领导、全面覆盖、权威高效的监督体系”提出明确要求。深化国家监察体制改革，是坚持和完善党和国家监督体系的必然要求，要一刻不停正风肃纪反腐，以健全监督体系促进国家治理体系和治理能力现代化，为推进中国式现代化提供坚强保障</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hint="eastAsia"/>
                <w:b/>
              </w:rPr>
            </w:pPr>
            <w:r>
              <w:rPr>
                <w:rFonts w:hint="eastAsia"/>
                <w:b/>
              </w:rPr>
              <w:t>序号</w:t>
            </w:r>
          </w:p>
        </w:tc>
        <w:tc>
          <w:tcPr>
            <w:tcW w:w="6379" w:type="dxa"/>
            <w:gridSpan w:val="2"/>
            <w:vAlign w:val="center"/>
          </w:tcPr>
          <w:p>
            <w:pPr>
              <w:jc w:val="center"/>
              <w:rPr>
                <w:rFonts w:hint="eastAsia"/>
                <w:b/>
              </w:rPr>
            </w:pPr>
            <w:r>
              <w:rPr>
                <w:rFonts w:hint="eastAsia"/>
                <w:b/>
              </w:rPr>
              <w:t>课程名称</w:t>
            </w:r>
          </w:p>
        </w:tc>
        <w:tc>
          <w:tcPr>
            <w:tcW w:w="1071" w:type="dxa"/>
            <w:gridSpan w:val="2"/>
            <w:vAlign w:val="center"/>
          </w:tcPr>
          <w:p>
            <w:pPr>
              <w:jc w:val="center"/>
              <w:rPr>
                <w:rFonts w:hint="eastAsia"/>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w:t>
            </w:r>
          </w:p>
        </w:tc>
        <w:tc>
          <w:tcPr>
            <w:tcW w:w="6379" w:type="dxa"/>
            <w:gridSpan w:val="2"/>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新时代国家监察体制改革的理论与实践（上）</w:t>
            </w:r>
          </w:p>
        </w:tc>
        <w:tc>
          <w:tcPr>
            <w:tcW w:w="1071" w:type="dxa"/>
            <w:gridSpan w:val="2"/>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6379" w:type="dxa"/>
            <w:gridSpan w:val="2"/>
            <w:vAlign w:val="center"/>
          </w:tcPr>
          <w:p>
            <w:pPr>
              <w:keepNext w:val="0"/>
              <w:keepLines w:val="0"/>
              <w:widowControl/>
              <w:suppressLineNumbers w:val="0"/>
              <w:jc w:val="left"/>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新时代国家监察体制改革的理论与实践（下）</w:t>
            </w:r>
          </w:p>
        </w:tc>
        <w:tc>
          <w:tcPr>
            <w:tcW w:w="1071" w:type="dxa"/>
            <w:gridSpan w:val="2"/>
            <w:vAlign w:val="center"/>
          </w:tcPr>
          <w:p>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6379" w:type="dxa"/>
            <w:gridSpan w:val="2"/>
            <w:vAlign w:val="center"/>
          </w:tcPr>
          <w:p>
            <w:pPr>
              <w:keepNext w:val="0"/>
              <w:keepLines w:val="0"/>
              <w:widowControl/>
              <w:suppressLineNumbers w:val="0"/>
              <w:jc w:val="left"/>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提高一体推进不敢腐、不能腐、不想腐的能力和水平</w:t>
            </w:r>
          </w:p>
        </w:tc>
        <w:tc>
          <w:tcPr>
            <w:tcW w:w="1071" w:type="dxa"/>
            <w:gridSpan w:val="2"/>
            <w:vAlign w:val="center"/>
          </w:tcPr>
          <w:p>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1.5学时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6379" w:type="dxa"/>
            <w:gridSpan w:val="2"/>
            <w:vAlign w:val="center"/>
          </w:tcPr>
          <w:p>
            <w:pPr>
              <w:keepNext w:val="0"/>
              <w:keepLines w:val="0"/>
              <w:widowControl/>
              <w:suppressLineNumbers w:val="0"/>
              <w:jc w:val="left"/>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新时代廉洁文化建设的传统借鉴</w:t>
            </w:r>
          </w:p>
        </w:tc>
        <w:tc>
          <w:tcPr>
            <w:tcW w:w="1071" w:type="dxa"/>
            <w:gridSpan w:val="2"/>
            <w:vAlign w:val="center"/>
          </w:tcPr>
          <w:p>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296" w:type="dxa"/>
            <w:gridSpan w:val="5"/>
            <w:vAlign w:val="center"/>
          </w:tcPr>
          <w:p>
            <w:pPr>
              <w:widowControl/>
              <w:spacing w:line="360" w:lineRule="auto"/>
              <w:textAlignment w:val="center"/>
              <w:rPr>
                <w:rFonts w:hint="eastAsia" w:ascii="宋体" w:hAnsi="宋体" w:cs="宋体"/>
                <w:sz w:val="24"/>
              </w:rPr>
            </w:pPr>
            <w:r>
              <w:rPr>
                <w:rFonts w:hint="eastAsia" w:ascii="黑体" w:hAnsi="黑体" w:eastAsia="黑体" w:cs="仿宋"/>
                <w:b/>
                <w:sz w:val="24"/>
                <w:lang w:val="en-US" w:eastAsia="zh-CN"/>
              </w:rPr>
              <w:t>四</w:t>
            </w:r>
            <w:r>
              <w:rPr>
                <w:rFonts w:hint="eastAsia" w:ascii="黑体" w:hAnsi="黑体" w:eastAsia="黑体" w:cs="仿宋"/>
                <w:b/>
                <w:sz w:val="24"/>
              </w:rPr>
              <w:t>、</w:t>
            </w:r>
            <w:r>
              <w:rPr>
                <w:rFonts w:hint="eastAsia" w:ascii="黑体" w:hAnsi="黑体" w:eastAsia="黑体" w:cs="仿宋"/>
                <w:b/>
                <w:sz w:val="24"/>
                <w:lang w:val="en-US" w:eastAsia="zh-CN"/>
              </w:rPr>
              <w:t>做好统一战线工作</w:t>
            </w:r>
            <w:r>
              <w:rPr>
                <w:rFonts w:hint="eastAsia" w:ascii="黑体" w:hAnsi="黑体" w:eastAsia="黑体" w:cs="仿宋"/>
                <w:b/>
                <w:sz w:val="24"/>
              </w:rPr>
              <w:t>（</w:t>
            </w:r>
            <w:r>
              <w:rPr>
                <w:rFonts w:hint="eastAsia" w:ascii="黑体" w:hAnsi="黑体" w:eastAsia="黑体" w:cs="仿宋"/>
                <w:b/>
                <w:sz w:val="24"/>
                <w:lang w:val="en-US" w:eastAsia="zh-CN"/>
              </w:rPr>
              <w:t>5</w:t>
            </w:r>
            <w:r>
              <w:rPr>
                <w:rFonts w:hint="eastAsia" w:ascii="黑体" w:hAnsi="黑体" w:eastAsia="黑体" w:cs="仿宋"/>
                <w:b/>
                <w:sz w:val="24"/>
              </w:rPr>
              <w:t>门）</w:t>
            </w:r>
          </w:p>
          <w:p>
            <w:pPr>
              <w:widowControl/>
              <w:spacing w:line="360" w:lineRule="auto"/>
              <w:ind w:firstLine="482" w:firstLineChars="200"/>
              <w:textAlignment w:val="center"/>
              <w:rPr>
                <w:rFonts w:hint="eastAsia" w:ascii="宋体" w:hAnsi="宋体" w:cs="宋体"/>
                <w:color w:val="000000"/>
                <w:kern w:val="0"/>
                <w:sz w:val="20"/>
                <w:szCs w:val="20"/>
                <w:lang w:bidi="ar"/>
              </w:rPr>
            </w:pPr>
            <w:r>
              <w:rPr>
                <w:rFonts w:hint="eastAsia"/>
                <w:b/>
                <w:sz w:val="24"/>
              </w:rPr>
              <w:t>专题介绍：</w:t>
            </w:r>
            <w:r>
              <w:rPr>
                <w:rFonts w:hint="eastAsia" w:ascii="宋体" w:hAnsi="宋体" w:cs="宋体"/>
                <w:sz w:val="24"/>
                <w:lang w:val="en-US" w:eastAsia="zh-CN"/>
              </w:rPr>
              <w:t>党的二十大，站在新的历史坐标谋划开局起步，擘画宏伟蓝图，为统一战线开拓进取、开辟新局提供了前进方向。做好新时代统战工作，必须坚持以党的二十大精神为引领，以习近平总书记关于做好新时代党的统一战线工作的重要思想为指导，充分发挥统一战线凝聚人心、汇聚力量的政治优势，引导广大统一战线成员不断厚植坚守共同理想、坚持共同奋斗的强大思想政治共识，推动新时代统战工作不断开创新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gridSpan w:val="5"/>
            <w:vAlign w:val="center"/>
          </w:tcPr>
          <w:p>
            <w:pPr>
              <w:widowControl/>
              <w:spacing w:line="360" w:lineRule="auto"/>
              <w:jc w:val="left"/>
              <w:textAlignment w:val="center"/>
              <w:rPr>
                <w:rFonts w:ascii="黑体" w:hAnsi="黑体" w:eastAsia="黑体" w:cs="仿宋"/>
                <w:b/>
                <w:sz w:val="24"/>
              </w:rPr>
            </w:pPr>
            <w:r>
              <w:rPr>
                <w:rFonts w:hint="eastAsia" w:ascii="黑体" w:hAnsi="黑体" w:eastAsia="黑体" w:cs="仿宋"/>
                <w:b/>
                <w:sz w:val="24"/>
                <w:lang w:val="en-US" w:eastAsia="zh-CN"/>
              </w:rPr>
              <w:t>五</w:t>
            </w:r>
            <w:r>
              <w:rPr>
                <w:rFonts w:hint="eastAsia" w:ascii="黑体" w:hAnsi="黑体" w:eastAsia="黑体" w:cs="仿宋"/>
                <w:b/>
                <w:sz w:val="24"/>
              </w:rPr>
              <w:t>、深入学习习近平法治思想  提升领导干部法治素养（</w:t>
            </w:r>
            <w:r>
              <w:rPr>
                <w:rFonts w:hint="eastAsia" w:ascii="黑体" w:hAnsi="黑体" w:eastAsia="黑体" w:cs="仿宋"/>
                <w:b/>
                <w:sz w:val="24"/>
                <w:lang w:val="en-US" w:eastAsia="zh-CN"/>
              </w:rPr>
              <w:t>10</w:t>
            </w:r>
            <w:r>
              <w:rPr>
                <w:rFonts w:hint="eastAsia" w:ascii="黑体" w:hAnsi="黑体" w:eastAsia="黑体" w:cs="仿宋"/>
                <w:b/>
                <w:sz w:val="24"/>
              </w:rPr>
              <w:t>门）</w:t>
            </w:r>
          </w:p>
          <w:p>
            <w:pPr>
              <w:widowControl/>
              <w:spacing w:line="360" w:lineRule="auto"/>
              <w:ind w:firstLine="482" w:firstLineChars="200"/>
              <w:textAlignment w:val="center"/>
              <w:rPr>
                <w:rFonts w:ascii="宋体" w:hAnsi="宋体" w:cs="宋体"/>
                <w:color w:val="000000"/>
                <w:kern w:val="0"/>
                <w:sz w:val="20"/>
                <w:szCs w:val="20"/>
                <w:lang w:bidi="ar"/>
              </w:rPr>
            </w:pPr>
            <w:r>
              <w:rPr>
                <w:b/>
                <w:sz w:val="24"/>
              </w:rPr>
              <w:t>专题介绍：</w:t>
            </w:r>
            <w:r>
              <w:rPr>
                <w:rFonts w:hint="eastAsia" w:ascii="宋体" w:hAnsi="宋体" w:cs="宋体"/>
                <w:sz w:val="24"/>
              </w:rPr>
              <w:t>习近平法治思想是新时代十年法治建设最重要的标志性成果，是我们党百年来提出的最全面、最系统、最科学的法治思想体系，为发展马克思主义法治理论作出重大原创性贡献</w:t>
            </w:r>
            <w:r>
              <w:rPr>
                <w:rFonts w:hint="eastAsia" w:ascii="宋体" w:hAnsi="宋体" w:cs="宋体"/>
                <w:sz w:val="24"/>
                <w:lang w:eastAsia="zh-CN"/>
              </w:rPr>
              <w:t>，</w:t>
            </w:r>
            <w:r>
              <w:rPr>
                <w:rFonts w:hint="eastAsia" w:ascii="宋体" w:hAnsi="宋体" w:cs="宋体"/>
                <w:sz w:val="24"/>
              </w:rPr>
              <w:t>实现了马克思主义法治理论中国化时代化新的飞跃。新征程上，</w:t>
            </w:r>
            <w:r>
              <w:rPr>
                <w:rFonts w:hint="eastAsia" w:ascii="宋体" w:hAnsi="宋体" w:cs="宋体"/>
                <w:sz w:val="24"/>
                <w:lang w:val="en-US" w:eastAsia="zh-CN"/>
              </w:rPr>
              <w:t>广大领导干部</w:t>
            </w:r>
            <w:r>
              <w:rPr>
                <w:rFonts w:hint="eastAsia" w:ascii="宋体" w:hAnsi="宋体" w:cs="宋体"/>
                <w:sz w:val="24"/>
              </w:rPr>
              <w:t>要深刻领会和准确把握习近平法治思想的核心要义，切实用以武装头脑、指导实践、推动工作。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lang w:val="en-US" w:eastAsia="zh-CN"/>
              </w:rPr>
              <w:t>六</w:t>
            </w:r>
            <w:r>
              <w:rPr>
                <w:rFonts w:hint="eastAsia" w:ascii="黑体" w:hAnsi="黑体" w:eastAsia="黑体" w:cs="仿宋"/>
                <w:b/>
                <w:sz w:val="24"/>
              </w:rPr>
              <w:t>、</w:t>
            </w:r>
            <w:r>
              <w:rPr>
                <w:rFonts w:hint="eastAsia" w:ascii="黑体" w:hAnsi="黑体" w:eastAsia="黑体" w:cs="仿宋"/>
                <w:b/>
                <w:sz w:val="24"/>
                <w:lang w:val="en-US" w:eastAsia="zh-CN"/>
              </w:rPr>
              <w:t>新法解读系列课程</w:t>
            </w:r>
            <w:r>
              <w:rPr>
                <w:rFonts w:hint="eastAsia" w:ascii="黑体" w:hAnsi="黑体" w:eastAsia="黑体" w:cs="仿宋"/>
                <w:b/>
                <w:sz w:val="24"/>
              </w:rPr>
              <w:t>（</w:t>
            </w:r>
            <w:r>
              <w:rPr>
                <w:rFonts w:ascii="黑体" w:hAnsi="黑体" w:eastAsia="黑体" w:cs="仿宋"/>
                <w:b/>
                <w:sz w:val="24"/>
              </w:rPr>
              <w:t>10</w:t>
            </w:r>
            <w:r>
              <w:rPr>
                <w:rFonts w:hint="eastAsia" w:ascii="黑体" w:hAnsi="黑体" w:eastAsia="黑体" w:cs="仿宋"/>
                <w:b/>
                <w:sz w:val="24"/>
              </w:rPr>
              <w:t>门）</w:t>
            </w:r>
          </w:p>
          <w:p>
            <w:pPr>
              <w:widowControl/>
              <w:spacing w:line="360" w:lineRule="auto"/>
              <w:ind w:firstLine="482" w:firstLineChars="200"/>
              <w:textAlignment w:val="center"/>
              <w:rPr>
                <w:rFonts w:hint="default" w:eastAsia="宋体"/>
                <w:b/>
                <w:sz w:val="24"/>
                <w:lang w:val="en-US" w:eastAsia="zh-CN"/>
              </w:rPr>
            </w:pPr>
            <w:r>
              <w:rPr>
                <w:b/>
                <w:sz w:val="24"/>
              </w:rPr>
              <w:t>专题介绍：</w:t>
            </w:r>
            <w:r>
              <w:rPr>
                <w:rFonts w:hint="eastAsia" w:ascii="宋体" w:hAnsi="宋体" w:cs="宋体"/>
                <w:sz w:val="24"/>
              </w:rPr>
              <w:t>中国特色社会主义法治道路是社会主义法治建设成就和经验的集中体现，是建设社会主义法治国家的唯一正确道路，从根本上保证了我国社会主义法治建设的正确方向。</w:t>
            </w:r>
            <w:r>
              <w:rPr>
                <w:rFonts w:hint="eastAsia" w:ascii="宋体" w:hAnsi="宋体" w:cs="宋体"/>
                <w:sz w:val="24"/>
                <w:lang w:val="en-US" w:eastAsia="zh-CN"/>
              </w:rPr>
              <w:t>随着一批新修订的法律法规的施行，</w:t>
            </w:r>
            <w:r>
              <w:rPr>
                <w:rFonts w:hint="eastAsia" w:ascii="宋体" w:hAnsi="宋体" w:cs="宋体"/>
                <w:sz w:val="24"/>
              </w:rPr>
              <w:t>我国社会主义法治建设</w:t>
            </w:r>
            <w:r>
              <w:rPr>
                <w:rFonts w:hint="eastAsia" w:ascii="宋体" w:hAnsi="宋体" w:cs="宋体"/>
                <w:sz w:val="24"/>
                <w:lang w:val="en-US" w:eastAsia="zh-CN"/>
              </w:rPr>
              <w:t>迈上了新的台阶</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lang w:val="en-US" w:eastAsia="zh-CN"/>
              </w:rPr>
              <w:t>七</w:t>
            </w:r>
            <w:r>
              <w:rPr>
                <w:rFonts w:ascii="黑体" w:hAnsi="黑体" w:eastAsia="黑体" w:cs="仿宋"/>
                <w:b/>
                <w:sz w:val="24"/>
              </w:rPr>
              <w:t>、</w:t>
            </w:r>
            <w:r>
              <w:rPr>
                <w:rFonts w:hint="eastAsia" w:ascii="黑体" w:hAnsi="黑体" w:eastAsia="黑体" w:cs="仿宋"/>
                <w:b/>
                <w:sz w:val="24"/>
              </w:rPr>
              <w:t>青年干部家风建设（</w:t>
            </w:r>
            <w:r>
              <w:rPr>
                <w:rFonts w:ascii="黑体" w:hAnsi="黑体" w:eastAsia="黑体" w:cs="仿宋"/>
                <w:b/>
                <w:sz w:val="24"/>
              </w:rPr>
              <w:t>8</w:t>
            </w:r>
            <w:r>
              <w:rPr>
                <w:rFonts w:hint="eastAsia" w:ascii="黑体" w:hAnsi="黑体" w:eastAsia="黑体" w:cs="仿宋"/>
                <w:b/>
                <w:sz w:val="24"/>
              </w:rPr>
              <w:t>门）</w:t>
            </w:r>
          </w:p>
          <w:p>
            <w:pPr>
              <w:spacing w:after="156" w:afterLines="50" w:line="360" w:lineRule="auto"/>
              <w:ind w:firstLine="482" w:firstLineChars="200"/>
              <w:rPr>
                <w:sz w:val="24"/>
              </w:rPr>
            </w:pPr>
            <w:r>
              <w:rPr>
                <w:b/>
                <w:sz w:val="24"/>
              </w:rPr>
              <w:t>专题介绍：</w:t>
            </w:r>
            <w:r>
              <w:rPr>
                <w:rFonts w:hint="eastAsia" w:ascii="宋体" w:hAnsi="宋体" w:cs="宋体"/>
                <w:sz w:val="24"/>
              </w:rPr>
              <w:t>家庭是社会的基本细胞，家庭的前途命运同国家和民族的前途命运紧密相连。习近平总书记非常重视家庭、家教、家风建设，相关论述颇多。就在2021年的3月28日，《习近平关于注重家庭家教家风建设论述摘编》出版发行，对于动员社会各界广泛参与家庭文明建设，具有重要意义。另外，对于领导干部和公职人员而言，家风不仅会关系到自己的家庭，还会关系到党风政风，关系到社会的公平正义。党员干部培育良好家风，不仅是道德要求，更是政治要求、纪律要求。青年干部大部分刚刚成家，正处在家庭生命周期的起始阶段，是家风建设的关键期，有必要引导青年干部理解习近平总书记关于家庭、家教、家风重要论述的理论特色、传承渊源和精神内核；掌握关于家庭、家教、家风建设的相关学理及科学方法、关键原则，使他们能够树立家风建设的自觉，把家风建设与党风政风建设统一在一起，并且能够在实际中践行相关原则和方法，处理好家庭关系、婚姻关系和亲子关系，让红色家风的基因得以传承并发扬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5B9BD5" w:themeFill="accent1"/>
            <w:vAlign w:val="center"/>
          </w:tcPr>
          <w:p>
            <w:pPr>
              <w:jc w:val="center"/>
              <w:rPr>
                <w:b/>
              </w:rPr>
            </w:pPr>
            <w:r>
              <w:rPr>
                <w:rFonts w:hint="eastAsia"/>
                <w:b/>
              </w:rPr>
              <w:t>序号</w:t>
            </w:r>
          </w:p>
        </w:tc>
        <w:tc>
          <w:tcPr>
            <w:tcW w:w="6379" w:type="dxa"/>
            <w:gridSpan w:val="2"/>
            <w:shd w:val="clear" w:color="auto" w:fill="5B9BD5" w:themeFill="accent1"/>
            <w:vAlign w:val="center"/>
          </w:tcPr>
          <w:p>
            <w:pPr>
              <w:jc w:val="center"/>
              <w:rPr>
                <w:b/>
              </w:rPr>
            </w:pPr>
            <w:r>
              <w:rPr>
                <w:rFonts w:hint="eastAsia"/>
                <w:b/>
              </w:rPr>
              <w:t>课程名称</w:t>
            </w:r>
          </w:p>
        </w:tc>
        <w:tc>
          <w:tcPr>
            <w:tcW w:w="1071" w:type="dxa"/>
            <w:gridSpan w:val="2"/>
            <w:shd w:val="clear" w:color="auto" w:fill="5B9BD5" w:themeFill="accent1"/>
            <w:vAlign w:val="center"/>
          </w:tcPr>
          <w:p>
            <w:pPr>
              <w:jc w:val="center"/>
              <w:rPr>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1</w:t>
            </w:r>
          </w:p>
        </w:tc>
        <w:tc>
          <w:tcPr>
            <w:tcW w:w="6379" w:type="dxa"/>
            <w:gridSpan w:val="2"/>
            <w:vAlign w:val="center"/>
          </w:tcPr>
          <w:p>
            <w:pPr>
              <w:rPr>
                <w:rFonts w:ascii="宋体" w:hAnsi="宋体" w:cs="宋体"/>
                <w:sz w:val="20"/>
                <w:szCs w:val="20"/>
              </w:rPr>
            </w:pPr>
            <w:r>
              <w:rPr>
                <w:rFonts w:hint="eastAsia" w:ascii="宋体" w:hAnsi="宋体" w:cs="宋体"/>
                <w:sz w:val="20"/>
                <w:szCs w:val="20"/>
              </w:rPr>
              <w:t>习近平总书记关于家庭、家风、家教重要论述的精神内核</w:t>
            </w:r>
          </w:p>
        </w:tc>
        <w:tc>
          <w:tcPr>
            <w:tcW w:w="1071" w:type="dxa"/>
            <w:gridSpan w:val="2"/>
            <w:vAlign w:val="center"/>
          </w:tcPr>
          <w:p>
            <w:pPr>
              <w:jc w:val="center"/>
              <w:rPr>
                <w:rFonts w:ascii="宋体" w:hAnsi="宋体" w:cs="宋体"/>
                <w:sz w:val="20"/>
                <w:szCs w:val="20"/>
              </w:rPr>
            </w:pPr>
            <w:r>
              <w:rPr>
                <w:rFonts w:ascii="宋体" w:hAnsi="宋体" w:cs="宋体"/>
                <w:sz w:val="20"/>
                <w:szCs w:val="20"/>
              </w:rPr>
              <w:t>2</w:t>
            </w:r>
            <w:r>
              <w:rPr>
                <w:rFonts w:hint="eastAsia" w:ascii="宋体" w:hAnsi="宋体" w:cs="宋体"/>
                <w:sz w:val="20"/>
                <w:szCs w:val="20"/>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2</w:t>
            </w:r>
          </w:p>
        </w:tc>
        <w:tc>
          <w:tcPr>
            <w:tcW w:w="6379" w:type="dxa"/>
            <w:gridSpan w:val="2"/>
            <w:vAlign w:val="center"/>
          </w:tcPr>
          <w:p>
            <w:pPr>
              <w:rPr>
                <w:rFonts w:ascii="宋体" w:hAnsi="宋体" w:cs="宋体"/>
                <w:sz w:val="20"/>
                <w:szCs w:val="20"/>
              </w:rPr>
            </w:pPr>
            <w:r>
              <w:rPr>
                <w:rFonts w:hint="eastAsia" w:ascii="宋体" w:hAnsi="宋体" w:cs="宋体"/>
                <w:sz w:val="20"/>
                <w:szCs w:val="20"/>
              </w:rPr>
              <w:t>习近平总书记关于家风论述的传承渊源</w:t>
            </w:r>
          </w:p>
        </w:tc>
        <w:tc>
          <w:tcPr>
            <w:tcW w:w="1071" w:type="dxa"/>
            <w:gridSpan w:val="2"/>
            <w:vAlign w:val="center"/>
          </w:tcPr>
          <w:p>
            <w:pPr>
              <w:jc w:val="center"/>
              <w:rPr>
                <w:rFonts w:ascii="宋体" w:hAnsi="宋体" w:cs="宋体"/>
                <w:sz w:val="20"/>
                <w:szCs w:val="20"/>
              </w:rPr>
            </w:pPr>
            <w:r>
              <w:rPr>
                <w:rFonts w:ascii="宋体" w:hAnsi="宋体" w:cs="宋体"/>
                <w:sz w:val="20"/>
                <w:szCs w:val="20"/>
              </w:rPr>
              <w:t>2</w:t>
            </w:r>
            <w:r>
              <w:rPr>
                <w:rFonts w:hint="eastAsia" w:ascii="宋体" w:hAnsi="宋体" w:cs="宋体"/>
                <w:sz w:val="20"/>
                <w:szCs w:val="20"/>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3</w:t>
            </w:r>
          </w:p>
        </w:tc>
        <w:tc>
          <w:tcPr>
            <w:tcW w:w="6379" w:type="dxa"/>
            <w:gridSpan w:val="2"/>
            <w:vAlign w:val="center"/>
          </w:tcPr>
          <w:p>
            <w:pPr>
              <w:rPr>
                <w:rFonts w:ascii="宋体" w:hAnsi="宋体" w:cs="宋体"/>
                <w:sz w:val="20"/>
                <w:szCs w:val="20"/>
              </w:rPr>
            </w:pPr>
            <w:r>
              <w:rPr>
                <w:rFonts w:hint="eastAsia" w:ascii="宋体" w:hAnsi="宋体" w:cs="宋体"/>
                <w:sz w:val="20"/>
                <w:szCs w:val="20"/>
              </w:rPr>
              <w:t>青年干部家风建设的关键原则</w:t>
            </w:r>
          </w:p>
        </w:tc>
        <w:tc>
          <w:tcPr>
            <w:tcW w:w="1071" w:type="dxa"/>
            <w:gridSpan w:val="2"/>
            <w:vAlign w:val="center"/>
          </w:tcPr>
          <w:p>
            <w:pPr>
              <w:jc w:val="center"/>
              <w:rPr>
                <w:rFonts w:ascii="宋体" w:hAnsi="宋体" w:cs="宋体"/>
                <w:sz w:val="20"/>
                <w:szCs w:val="20"/>
              </w:rPr>
            </w:pPr>
            <w:r>
              <w:rPr>
                <w:rFonts w:ascii="宋体" w:hAnsi="宋体" w:cs="宋体"/>
                <w:sz w:val="20"/>
                <w:szCs w:val="20"/>
              </w:rPr>
              <w:t>2</w:t>
            </w:r>
            <w:r>
              <w:rPr>
                <w:rFonts w:hint="eastAsia" w:ascii="宋体" w:hAnsi="宋体" w:cs="宋体"/>
                <w:sz w:val="20"/>
                <w:szCs w:val="20"/>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4</w:t>
            </w:r>
          </w:p>
        </w:tc>
        <w:tc>
          <w:tcPr>
            <w:tcW w:w="6379" w:type="dxa"/>
            <w:gridSpan w:val="2"/>
            <w:vAlign w:val="center"/>
          </w:tcPr>
          <w:p>
            <w:pPr>
              <w:rPr>
                <w:rFonts w:ascii="宋体" w:hAnsi="宋体" w:cs="宋体"/>
                <w:sz w:val="20"/>
                <w:szCs w:val="20"/>
              </w:rPr>
            </w:pPr>
            <w:r>
              <w:rPr>
                <w:rFonts w:hint="eastAsia" w:ascii="宋体" w:hAnsi="宋体" w:cs="宋体"/>
                <w:sz w:val="20"/>
                <w:szCs w:val="20"/>
              </w:rPr>
              <w:t>青年干部家风建设的科学策略</w:t>
            </w:r>
          </w:p>
        </w:tc>
        <w:tc>
          <w:tcPr>
            <w:tcW w:w="1071" w:type="dxa"/>
            <w:gridSpan w:val="2"/>
            <w:vAlign w:val="center"/>
          </w:tcPr>
          <w:p>
            <w:pPr>
              <w:jc w:val="center"/>
              <w:rPr>
                <w:rFonts w:ascii="宋体" w:hAnsi="宋体" w:cs="宋体"/>
                <w:sz w:val="20"/>
                <w:szCs w:val="20"/>
              </w:rPr>
            </w:pPr>
            <w:r>
              <w:rPr>
                <w:rFonts w:ascii="宋体" w:hAnsi="宋体" w:cs="宋体"/>
                <w:sz w:val="20"/>
                <w:szCs w:val="20"/>
              </w:rPr>
              <w:t>2</w:t>
            </w:r>
            <w:r>
              <w:rPr>
                <w:rFonts w:hint="eastAsia" w:ascii="宋体" w:hAnsi="宋体" w:cs="宋体"/>
                <w:sz w:val="20"/>
                <w:szCs w:val="20"/>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lang w:val="en-US" w:eastAsia="zh-CN"/>
              </w:rPr>
              <w:t>八</w:t>
            </w:r>
            <w:r>
              <w:rPr>
                <w:rFonts w:hint="eastAsia" w:ascii="黑体" w:hAnsi="黑体" w:eastAsia="黑体" w:cs="仿宋"/>
                <w:b/>
                <w:sz w:val="24"/>
              </w:rPr>
              <w:t>、青年干部的党性修养（</w:t>
            </w:r>
            <w:r>
              <w:rPr>
                <w:rFonts w:ascii="黑体" w:hAnsi="黑体" w:eastAsia="黑体" w:cs="仿宋"/>
                <w:b/>
                <w:sz w:val="24"/>
              </w:rPr>
              <w:t>7</w:t>
            </w:r>
            <w:r>
              <w:rPr>
                <w:rFonts w:hint="eastAsia" w:ascii="黑体" w:hAnsi="黑体" w:eastAsia="黑体" w:cs="仿宋"/>
                <w:b/>
                <w:sz w:val="24"/>
              </w:rPr>
              <w:t>门）</w:t>
            </w:r>
          </w:p>
          <w:p>
            <w:pPr>
              <w:spacing w:after="156" w:afterLines="50" w:line="360" w:lineRule="auto"/>
              <w:ind w:firstLine="482" w:firstLineChars="200"/>
              <w:rPr>
                <w:rFonts w:ascii="宋体" w:hAnsi="宋体" w:cs="宋体"/>
                <w:color w:val="000000"/>
                <w:sz w:val="20"/>
                <w:szCs w:val="20"/>
              </w:rPr>
            </w:pPr>
            <w:r>
              <w:rPr>
                <w:rFonts w:hint="eastAsia" w:ascii="宋体" w:hAnsi="宋体" w:cs="宋体"/>
                <w:b/>
                <w:sz w:val="24"/>
              </w:rPr>
              <w:t>专题介绍：</w:t>
            </w:r>
            <w:r>
              <w:rPr>
                <w:rFonts w:hint="eastAsia" w:ascii="宋体" w:hAnsi="宋体" w:cs="宋体"/>
                <w:sz w:val="24"/>
              </w:rPr>
              <w:t>习近平总书记指出，党性修养是共产人的终身课题。青年干部加强党性修养事关党的前途运用，事关民族的兴衰成败，事关青年干部成长成才。本课程采用理论与实际、历史与现实、国际与国内相结合的方法，通过理论阐述和案例分享，有助于青年干部党性教育更加扎实、理想信念、党性观念、宗旨意识进一步强化，思想觉悟、政德修养、品行作风进一步提高，信仰之基、从政之基、廉政之基进一步牢固。实现青年干部的党性修养不断提高，“四个意识”不断增强，“四个自信”进一步坚定，“两个维护”成为普遍自觉，思想行动高度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5B9BD5" w:themeFill="accent1"/>
            <w:vAlign w:val="center"/>
          </w:tcPr>
          <w:p>
            <w:pPr>
              <w:jc w:val="center"/>
              <w:rPr>
                <w:b/>
              </w:rPr>
            </w:pPr>
            <w:r>
              <w:rPr>
                <w:rFonts w:hint="eastAsia"/>
                <w:b/>
              </w:rPr>
              <w:t>序号</w:t>
            </w:r>
          </w:p>
        </w:tc>
        <w:tc>
          <w:tcPr>
            <w:tcW w:w="6379" w:type="dxa"/>
            <w:gridSpan w:val="2"/>
            <w:shd w:val="clear" w:color="auto" w:fill="5B9BD5" w:themeFill="accent1"/>
            <w:vAlign w:val="center"/>
          </w:tcPr>
          <w:p>
            <w:pPr>
              <w:jc w:val="center"/>
              <w:rPr>
                <w:b/>
              </w:rPr>
            </w:pPr>
            <w:r>
              <w:rPr>
                <w:rFonts w:hint="eastAsia"/>
                <w:b/>
              </w:rPr>
              <w:t>课程名称</w:t>
            </w:r>
          </w:p>
        </w:tc>
        <w:tc>
          <w:tcPr>
            <w:tcW w:w="1071" w:type="dxa"/>
            <w:gridSpan w:val="2"/>
            <w:shd w:val="clear" w:color="auto" w:fill="5B9BD5" w:themeFill="accent1"/>
            <w:vAlign w:val="center"/>
          </w:tcPr>
          <w:p>
            <w:pPr>
              <w:jc w:val="center"/>
              <w:rPr>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Pr>
          <w:p>
            <w:pPr>
              <w:jc w:val="center"/>
              <w:rPr>
                <w:rFonts w:ascii="宋体" w:hAnsi="宋体" w:cs="宋体"/>
                <w:sz w:val="20"/>
                <w:szCs w:val="20"/>
              </w:rPr>
            </w:pPr>
            <w:r>
              <w:rPr>
                <w:rFonts w:ascii="宋体" w:hAnsi="宋体" w:cs="宋体"/>
                <w:sz w:val="20"/>
                <w:szCs w:val="20"/>
              </w:rPr>
              <w:t>1</w:t>
            </w:r>
          </w:p>
        </w:tc>
        <w:tc>
          <w:tcPr>
            <w:tcW w:w="6379" w:type="dxa"/>
            <w:gridSpan w:val="2"/>
            <w:vAlign w:val="center"/>
          </w:tcPr>
          <w:p>
            <w:pPr>
              <w:jc w:val="left"/>
              <w:rPr>
                <w:rFonts w:ascii="宋体" w:hAnsi="宋体" w:cs="宋体"/>
                <w:color w:val="000000"/>
                <w:sz w:val="20"/>
                <w:szCs w:val="20"/>
              </w:rPr>
            </w:pPr>
            <w:r>
              <w:rPr>
                <w:rFonts w:hint="eastAsia" w:ascii="宋体" w:hAnsi="宋体" w:cs="宋体"/>
                <w:color w:val="000000"/>
                <w:sz w:val="20"/>
                <w:szCs w:val="20"/>
              </w:rPr>
              <w:t>党性修养为什么是共产党人终身必修课</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sz w:val="20"/>
                <w:szCs w:val="20"/>
              </w:rPr>
              <w:t>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Pr>
          <w:p>
            <w:pPr>
              <w:jc w:val="center"/>
              <w:rPr>
                <w:rFonts w:ascii="宋体" w:hAnsi="宋体" w:cs="宋体"/>
                <w:sz w:val="20"/>
                <w:szCs w:val="20"/>
              </w:rPr>
            </w:pPr>
            <w:r>
              <w:rPr>
                <w:rFonts w:ascii="宋体" w:hAnsi="宋体" w:cs="宋体"/>
                <w:sz w:val="20"/>
                <w:szCs w:val="20"/>
              </w:rPr>
              <w:t>2</w:t>
            </w:r>
          </w:p>
        </w:tc>
        <w:tc>
          <w:tcPr>
            <w:tcW w:w="6379" w:type="dxa"/>
            <w:gridSpan w:val="2"/>
            <w:vAlign w:val="center"/>
          </w:tcPr>
          <w:p>
            <w:pPr>
              <w:jc w:val="left"/>
              <w:rPr>
                <w:rFonts w:ascii="宋体" w:hAnsi="宋体" w:cs="宋体"/>
                <w:color w:val="000000"/>
                <w:sz w:val="20"/>
                <w:szCs w:val="20"/>
              </w:rPr>
            </w:pPr>
            <w:r>
              <w:rPr>
                <w:rFonts w:hint="eastAsia" w:ascii="宋体" w:hAnsi="宋体" w:cs="宋体"/>
                <w:color w:val="000000"/>
                <w:sz w:val="20"/>
                <w:szCs w:val="20"/>
              </w:rPr>
              <w:t>党性修养都是修养“什么”</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sz w:val="20"/>
                <w:szCs w:val="20"/>
              </w:rPr>
              <w:t>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Pr>
          <w:p>
            <w:pPr>
              <w:jc w:val="center"/>
              <w:rPr>
                <w:rFonts w:ascii="宋体" w:hAnsi="宋体" w:cs="宋体"/>
                <w:sz w:val="20"/>
                <w:szCs w:val="20"/>
              </w:rPr>
            </w:pPr>
            <w:r>
              <w:rPr>
                <w:rFonts w:ascii="宋体" w:hAnsi="宋体" w:cs="宋体"/>
                <w:sz w:val="20"/>
                <w:szCs w:val="20"/>
              </w:rPr>
              <w:t>3</w:t>
            </w:r>
          </w:p>
        </w:tc>
        <w:tc>
          <w:tcPr>
            <w:tcW w:w="6379" w:type="dxa"/>
            <w:gridSpan w:val="2"/>
            <w:vAlign w:val="center"/>
          </w:tcPr>
          <w:p>
            <w:pPr>
              <w:jc w:val="left"/>
              <w:rPr>
                <w:rFonts w:ascii="宋体" w:hAnsi="宋体" w:cs="宋体"/>
                <w:color w:val="000000"/>
                <w:sz w:val="20"/>
                <w:szCs w:val="20"/>
              </w:rPr>
            </w:pPr>
            <w:r>
              <w:rPr>
                <w:rFonts w:hint="eastAsia" w:ascii="宋体" w:hAnsi="宋体" w:cs="宋体"/>
                <w:color w:val="000000"/>
                <w:sz w:val="20"/>
                <w:szCs w:val="20"/>
              </w:rPr>
              <w:t>青年干部党性修养中存在的问题</w:t>
            </w:r>
          </w:p>
        </w:tc>
        <w:tc>
          <w:tcPr>
            <w:tcW w:w="1071" w:type="dxa"/>
            <w:gridSpan w:val="2"/>
          </w:tcPr>
          <w:p>
            <w:pPr>
              <w:jc w:val="center"/>
              <w:rPr>
                <w:rFonts w:ascii="宋体" w:hAnsi="宋体" w:cs="宋体"/>
                <w:color w:val="000000"/>
                <w:sz w:val="20"/>
                <w:szCs w:val="20"/>
              </w:rPr>
            </w:pPr>
            <w:r>
              <w:rPr>
                <w:rFonts w:hint="eastAsia" w:ascii="宋体" w:hAnsi="宋体" w:cs="宋体"/>
                <w:color w:val="000000"/>
                <w:sz w:val="20"/>
                <w:szCs w:val="20"/>
              </w:rPr>
              <w:t>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Pr>
          <w:p>
            <w:pPr>
              <w:jc w:val="center"/>
              <w:rPr>
                <w:rFonts w:ascii="宋体" w:hAnsi="宋体" w:cs="宋体"/>
                <w:sz w:val="20"/>
                <w:szCs w:val="20"/>
              </w:rPr>
            </w:pPr>
            <w:r>
              <w:rPr>
                <w:rFonts w:ascii="宋体" w:hAnsi="宋体" w:cs="宋体"/>
                <w:sz w:val="20"/>
                <w:szCs w:val="20"/>
              </w:rPr>
              <w:t>4</w:t>
            </w:r>
          </w:p>
        </w:tc>
        <w:tc>
          <w:tcPr>
            <w:tcW w:w="6379" w:type="dxa"/>
            <w:gridSpan w:val="2"/>
            <w:vAlign w:val="center"/>
          </w:tcPr>
          <w:p>
            <w:pPr>
              <w:jc w:val="left"/>
              <w:rPr>
                <w:rFonts w:ascii="宋体" w:hAnsi="宋体" w:cs="宋体"/>
                <w:color w:val="000000"/>
                <w:sz w:val="20"/>
                <w:szCs w:val="20"/>
              </w:rPr>
            </w:pPr>
            <w:r>
              <w:rPr>
                <w:rFonts w:hint="eastAsia" w:ascii="宋体" w:hAnsi="宋体" w:cs="宋体"/>
                <w:color w:val="000000"/>
                <w:sz w:val="20"/>
                <w:szCs w:val="20"/>
              </w:rPr>
              <w:t>新时代如何进一步增强青年干部的党性修养</w:t>
            </w:r>
          </w:p>
        </w:tc>
        <w:tc>
          <w:tcPr>
            <w:tcW w:w="1071" w:type="dxa"/>
            <w:gridSpan w:val="2"/>
          </w:tcPr>
          <w:p>
            <w:pPr>
              <w:jc w:val="center"/>
              <w:rPr>
                <w:rFonts w:ascii="宋体" w:hAnsi="宋体" w:cs="宋体"/>
                <w:color w:val="000000"/>
                <w:sz w:val="20"/>
                <w:szCs w:val="20"/>
              </w:rPr>
            </w:pPr>
            <w:r>
              <w:rPr>
                <w:rFonts w:ascii="宋体" w:hAnsi="宋体" w:cs="宋体"/>
                <w:color w:val="000000"/>
                <w:sz w:val="20"/>
                <w:szCs w:val="20"/>
              </w:rPr>
              <w:t>1</w:t>
            </w:r>
            <w:r>
              <w:rPr>
                <w:rFonts w:hint="eastAsia" w:ascii="宋体" w:hAnsi="宋体" w:cs="宋体"/>
                <w:color w:val="000000"/>
                <w:sz w:val="20"/>
                <w:szCs w:val="20"/>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lang w:val="en-US" w:eastAsia="zh-CN"/>
              </w:rPr>
              <w:t>九</w:t>
            </w:r>
            <w:r>
              <w:rPr>
                <w:rFonts w:hint="eastAsia" w:ascii="黑体" w:hAnsi="黑体" w:eastAsia="黑体" w:cs="仿宋"/>
                <w:b/>
                <w:sz w:val="24"/>
              </w:rPr>
              <w:t>、跟总书记学系列课程（80门）</w:t>
            </w:r>
          </w:p>
          <w:p>
            <w:pPr>
              <w:spacing w:after="156" w:afterLines="50" w:line="360" w:lineRule="auto"/>
              <w:ind w:firstLine="482" w:firstLineChars="200"/>
              <w:rPr>
                <w:sz w:val="24"/>
              </w:rPr>
            </w:pPr>
            <w:r>
              <w:rPr>
                <w:b/>
                <w:sz w:val="24"/>
              </w:rPr>
              <w:t>专题介绍：</w:t>
            </w:r>
            <w:r>
              <w:rPr>
                <w:rFonts w:hint="eastAsia" w:ascii="宋体" w:hAnsi="宋体" w:cs="宋体"/>
                <w:bCs/>
                <w:color w:val="000000" w:themeColor="text1"/>
                <w:sz w:val="24"/>
                <w14:textFill>
                  <w14:solidFill>
                    <w14:schemeClr w14:val="tx1"/>
                  </w14:solidFill>
                </w14:textFill>
              </w:rPr>
              <w:t>习近平总书记是党的核心、军队统帅、人民领袖，是国家掌舵者、人民领路人，也是伟大新时代的开创者、伟大新思想的创立者。跟总书记学，就要学坚定理想信念、学人民情怀、学担当精神、学思维方法、学工作方法、学学习精神、学成长成才、学国际视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5B9BD5" w:themeFill="accent1"/>
            <w:vAlign w:val="center"/>
          </w:tcPr>
          <w:p>
            <w:pPr>
              <w:jc w:val="center"/>
              <w:rPr>
                <w:b/>
              </w:rPr>
            </w:pPr>
            <w:r>
              <w:rPr>
                <w:rFonts w:hint="eastAsia"/>
                <w:b/>
              </w:rPr>
              <w:t>序号</w:t>
            </w:r>
          </w:p>
        </w:tc>
        <w:tc>
          <w:tcPr>
            <w:tcW w:w="6379" w:type="dxa"/>
            <w:gridSpan w:val="2"/>
            <w:shd w:val="clear" w:color="auto" w:fill="5B9BD5" w:themeFill="accent1"/>
            <w:vAlign w:val="center"/>
          </w:tcPr>
          <w:p>
            <w:pPr>
              <w:jc w:val="center"/>
              <w:rPr>
                <w:b/>
              </w:rPr>
            </w:pPr>
            <w:r>
              <w:rPr>
                <w:rFonts w:hint="eastAsia"/>
                <w:b/>
              </w:rPr>
              <w:t>课程名称</w:t>
            </w:r>
          </w:p>
        </w:tc>
        <w:tc>
          <w:tcPr>
            <w:tcW w:w="1071" w:type="dxa"/>
            <w:gridSpan w:val="2"/>
            <w:shd w:val="clear" w:color="auto" w:fill="5B9BD5" w:themeFill="accent1"/>
            <w:vAlign w:val="center"/>
          </w:tcPr>
          <w:p>
            <w:pPr>
              <w:jc w:val="center"/>
              <w:rPr>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1</w:t>
            </w:r>
          </w:p>
        </w:tc>
        <w:tc>
          <w:tcPr>
            <w:tcW w:w="6379" w:type="dxa"/>
            <w:gridSpan w:val="2"/>
            <w:vAlign w:val="center"/>
          </w:tcPr>
          <w:p>
            <w:pPr>
              <w:rPr>
                <w:rFonts w:ascii="宋体" w:hAnsi="宋体" w:cs="宋体"/>
                <w:sz w:val="20"/>
                <w:szCs w:val="20"/>
              </w:rPr>
            </w:pPr>
            <w:r>
              <w:rPr>
                <w:rFonts w:hint="eastAsia" w:ascii="宋体" w:hAnsi="宋体" w:cs="宋体"/>
                <w:color w:val="171A1D"/>
                <w:sz w:val="20"/>
                <w:szCs w:val="20"/>
                <w:shd w:val="clear" w:color="auto" w:fill="FFFFFF"/>
              </w:rPr>
              <w:t>学坚定</w:t>
            </w:r>
            <w:r>
              <w:rPr>
                <w:rFonts w:hint="eastAsia" w:ascii="宋体" w:hAnsi="宋体" w:cs="宋体"/>
                <w:color w:val="000000"/>
                <w:sz w:val="20"/>
                <w:szCs w:val="20"/>
              </w:rPr>
              <w:t>理想</w:t>
            </w:r>
            <w:r>
              <w:rPr>
                <w:rFonts w:hint="eastAsia" w:ascii="宋体" w:hAnsi="宋体" w:cs="宋体"/>
                <w:color w:val="171A1D"/>
                <w:sz w:val="20"/>
                <w:szCs w:val="20"/>
                <w:shd w:val="clear" w:color="auto" w:fill="FFFFFF"/>
              </w:rPr>
              <w:t>信念</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2</w:t>
            </w:r>
          </w:p>
        </w:tc>
        <w:tc>
          <w:tcPr>
            <w:tcW w:w="6379" w:type="dxa"/>
            <w:gridSpan w:val="2"/>
            <w:vAlign w:val="center"/>
          </w:tcPr>
          <w:p>
            <w:pPr>
              <w:rPr>
                <w:rFonts w:ascii="宋体" w:hAnsi="宋体" w:cs="宋体"/>
                <w:sz w:val="20"/>
                <w:szCs w:val="20"/>
              </w:rPr>
            </w:pPr>
            <w:r>
              <w:rPr>
                <w:rFonts w:hint="eastAsia" w:ascii="宋体" w:hAnsi="宋体" w:cs="宋体"/>
                <w:color w:val="171A1D"/>
                <w:sz w:val="20"/>
                <w:szCs w:val="20"/>
                <w:shd w:val="clear" w:color="auto" w:fill="FFFFFF"/>
              </w:rPr>
              <w:t>学人民情怀</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3</w:t>
            </w:r>
          </w:p>
        </w:tc>
        <w:tc>
          <w:tcPr>
            <w:tcW w:w="6379" w:type="dxa"/>
            <w:gridSpan w:val="2"/>
            <w:vAlign w:val="center"/>
          </w:tcPr>
          <w:p>
            <w:pPr>
              <w:rPr>
                <w:rFonts w:ascii="宋体" w:hAnsi="宋体" w:cs="宋体"/>
                <w:sz w:val="20"/>
                <w:szCs w:val="20"/>
              </w:rPr>
            </w:pPr>
            <w:r>
              <w:rPr>
                <w:rFonts w:hint="eastAsia" w:ascii="宋体" w:hAnsi="宋体" w:cs="宋体"/>
                <w:color w:val="171A1D"/>
                <w:sz w:val="20"/>
                <w:szCs w:val="20"/>
                <w:shd w:val="clear" w:color="auto" w:fill="FFFFFF"/>
              </w:rPr>
              <w:t>学担当精神</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4</w:t>
            </w:r>
          </w:p>
        </w:tc>
        <w:tc>
          <w:tcPr>
            <w:tcW w:w="6379" w:type="dxa"/>
            <w:gridSpan w:val="2"/>
            <w:vAlign w:val="center"/>
          </w:tcPr>
          <w:p>
            <w:pPr>
              <w:rPr>
                <w:rFonts w:ascii="宋体" w:hAnsi="宋体" w:cs="宋体"/>
                <w:sz w:val="20"/>
                <w:szCs w:val="20"/>
              </w:rPr>
            </w:pPr>
            <w:r>
              <w:rPr>
                <w:rFonts w:hint="eastAsia" w:ascii="宋体" w:hAnsi="宋体" w:cs="宋体"/>
                <w:color w:val="171A1D"/>
                <w:sz w:val="20"/>
                <w:szCs w:val="20"/>
                <w:shd w:val="clear" w:color="auto" w:fill="FFFFFF"/>
              </w:rPr>
              <w:t>学思维方法</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5</w:t>
            </w:r>
          </w:p>
        </w:tc>
        <w:tc>
          <w:tcPr>
            <w:tcW w:w="6379" w:type="dxa"/>
            <w:gridSpan w:val="2"/>
            <w:vAlign w:val="center"/>
          </w:tcPr>
          <w:p>
            <w:pPr>
              <w:rPr>
                <w:rFonts w:ascii="宋体" w:hAnsi="宋体" w:cs="宋体"/>
                <w:sz w:val="20"/>
                <w:szCs w:val="20"/>
              </w:rPr>
            </w:pPr>
            <w:r>
              <w:rPr>
                <w:rFonts w:hint="eastAsia" w:ascii="宋体" w:hAnsi="宋体" w:cs="宋体"/>
                <w:color w:val="171A1D"/>
                <w:sz w:val="20"/>
                <w:szCs w:val="20"/>
                <w:shd w:val="clear" w:color="auto" w:fill="FFFFFF"/>
              </w:rPr>
              <w:t>学工作方法</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6</w:t>
            </w:r>
          </w:p>
        </w:tc>
        <w:tc>
          <w:tcPr>
            <w:tcW w:w="6379" w:type="dxa"/>
            <w:gridSpan w:val="2"/>
            <w:vAlign w:val="center"/>
          </w:tcPr>
          <w:p>
            <w:pPr>
              <w:rPr>
                <w:rFonts w:ascii="宋体" w:hAnsi="宋体" w:cs="宋体"/>
                <w:sz w:val="20"/>
                <w:szCs w:val="20"/>
              </w:rPr>
            </w:pPr>
            <w:r>
              <w:rPr>
                <w:rFonts w:hint="eastAsia" w:ascii="宋体" w:hAnsi="宋体" w:cs="宋体"/>
                <w:color w:val="171A1D"/>
                <w:sz w:val="20"/>
                <w:szCs w:val="20"/>
                <w:shd w:val="clear" w:color="auto" w:fill="FFFFFF"/>
              </w:rPr>
              <w:t>学学习精神</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7</w:t>
            </w:r>
          </w:p>
        </w:tc>
        <w:tc>
          <w:tcPr>
            <w:tcW w:w="6379" w:type="dxa"/>
            <w:gridSpan w:val="2"/>
            <w:vAlign w:val="center"/>
          </w:tcPr>
          <w:p>
            <w:pPr>
              <w:widowControl/>
              <w:jc w:val="left"/>
              <w:rPr>
                <w:rFonts w:ascii="宋体" w:hAnsi="宋体" w:cs="宋体"/>
                <w:kern w:val="0"/>
                <w:sz w:val="20"/>
                <w:szCs w:val="20"/>
              </w:rPr>
            </w:pPr>
            <w:r>
              <w:rPr>
                <w:rFonts w:hint="eastAsia" w:ascii="宋体" w:hAnsi="宋体" w:cs="宋体"/>
                <w:color w:val="171A1D"/>
                <w:sz w:val="20"/>
                <w:szCs w:val="20"/>
                <w:shd w:val="clear" w:color="auto" w:fill="FFFFFF"/>
              </w:rPr>
              <w:t>学成长成才</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8</w:t>
            </w:r>
          </w:p>
        </w:tc>
        <w:tc>
          <w:tcPr>
            <w:tcW w:w="6379" w:type="dxa"/>
            <w:gridSpan w:val="2"/>
            <w:vAlign w:val="center"/>
          </w:tcPr>
          <w:p>
            <w:pPr>
              <w:jc w:val="left"/>
              <w:rPr>
                <w:rFonts w:ascii="宋体" w:hAnsi="宋体" w:cs="宋体"/>
                <w:sz w:val="20"/>
                <w:szCs w:val="20"/>
              </w:rPr>
            </w:pPr>
            <w:r>
              <w:rPr>
                <w:rFonts w:hint="eastAsia" w:ascii="宋体" w:hAnsi="宋体" w:cs="宋体"/>
                <w:color w:val="171A1D"/>
                <w:sz w:val="20"/>
                <w:szCs w:val="20"/>
                <w:shd w:val="clear" w:color="auto" w:fill="FFFFFF"/>
              </w:rPr>
              <w:t>学国际视眼</w:t>
            </w:r>
          </w:p>
        </w:tc>
        <w:tc>
          <w:tcPr>
            <w:tcW w:w="1071" w:type="dxa"/>
            <w:gridSpan w:val="2"/>
            <w:vAlign w:val="center"/>
          </w:tcPr>
          <w:p>
            <w:pPr>
              <w:jc w:val="center"/>
              <w:rPr>
                <w:rFonts w:ascii="宋体" w:hAnsi="宋体" w:cs="宋体"/>
                <w:sz w:val="20"/>
                <w:szCs w:val="20"/>
              </w:rPr>
            </w:pPr>
            <w:r>
              <w:rPr>
                <w:rFonts w:hint="eastAsia" w:ascii="宋体" w:hAnsi="宋体" w:cs="宋体"/>
                <w:sz w:val="20"/>
                <w:szCs w:val="20"/>
              </w:rPr>
              <w:t>10门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296" w:type="dxa"/>
            <w:gridSpan w:val="5"/>
            <w:vAlign w:val="center"/>
          </w:tcPr>
          <w:p>
            <w:pPr>
              <w:spacing w:after="156" w:afterLines="50" w:line="360" w:lineRule="auto"/>
              <w:jc w:val="left"/>
              <w:rPr>
                <w:rFonts w:ascii="黑体" w:hAnsi="黑体" w:eastAsia="黑体" w:cs="仿宋"/>
                <w:b/>
                <w:sz w:val="24"/>
              </w:rPr>
            </w:pPr>
            <w:r>
              <w:rPr>
                <w:rFonts w:hint="eastAsia" w:ascii="黑体" w:hAnsi="黑体" w:eastAsia="黑体" w:cs="仿宋"/>
                <w:b/>
                <w:sz w:val="24"/>
              </w:rPr>
              <w:t>十、习近平总书记青年寄语（</w:t>
            </w:r>
            <w:r>
              <w:rPr>
                <w:rFonts w:ascii="黑体" w:hAnsi="黑体" w:eastAsia="黑体" w:cs="仿宋"/>
                <w:b/>
                <w:sz w:val="24"/>
              </w:rPr>
              <w:t>10</w:t>
            </w:r>
            <w:r>
              <w:rPr>
                <w:rFonts w:hint="eastAsia" w:ascii="黑体" w:hAnsi="黑体" w:eastAsia="黑体" w:cs="仿宋"/>
                <w:b/>
                <w:sz w:val="24"/>
              </w:rPr>
              <w:t>门）</w:t>
            </w:r>
          </w:p>
          <w:p>
            <w:pPr>
              <w:spacing w:line="360" w:lineRule="auto"/>
              <w:jc w:val="left"/>
              <w:rPr>
                <w:rFonts w:hint="eastAsia" w:ascii="宋体" w:hAnsi="宋体" w:cs="宋体"/>
                <w:sz w:val="20"/>
                <w:szCs w:val="20"/>
              </w:rPr>
            </w:pPr>
            <w:r>
              <w:rPr>
                <w:rFonts w:hint="eastAsia"/>
                <w:b/>
                <w:sz w:val="24"/>
              </w:rPr>
              <w:t>专题介绍：</w:t>
            </w:r>
            <w:r>
              <w:rPr>
                <w:rFonts w:hint="eastAsia" w:ascii="宋体" w:hAnsi="宋体" w:cs="宋体"/>
                <w:bCs/>
                <w:color w:val="000000" w:themeColor="text1"/>
                <w:sz w:val="24"/>
                <w14:textFill>
                  <w14:solidFill>
                    <w14:schemeClr w14:val="tx1"/>
                  </w14:solidFill>
                </w14:textFill>
              </w:rPr>
              <w:t>青年是祖国的未来、民族的希望。习近平总书记十分关心青年成长，党的十八大以来，多次通过座谈、演讲等方式对青年寄予殷切期望，鼓励青年追求梦想、努力奋斗。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jc w:val="left"/>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一</w:t>
            </w:r>
            <w:r>
              <w:rPr>
                <w:rFonts w:hint="eastAsia" w:ascii="黑体" w:hAnsi="黑体" w:eastAsia="黑体" w:cs="仿宋"/>
                <w:b/>
                <w:sz w:val="24"/>
              </w:rPr>
              <w:t>、青年干部的领导力培养（</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rFonts w:ascii="黑体" w:hAnsi="黑体" w:eastAsia="黑体" w:cs="仿宋"/>
                <w:b/>
                <w:sz w:val="24"/>
              </w:rPr>
            </w:pPr>
            <w:r>
              <w:rPr>
                <w:rFonts w:hint="eastAsia"/>
                <w:b/>
                <w:sz w:val="24"/>
              </w:rPr>
              <w:t>专题介绍：</w:t>
            </w:r>
            <w:r>
              <w:rPr>
                <w:rFonts w:hint="eastAsia" w:ascii="宋体" w:hAnsi="宋体" w:cs="宋体"/>
                <w:bCs/>
                <w:color w:val="000000" w:themeColor="text1"/>
                <w:sz w:val="24"/>
                <w14:textFill>
                  <w14:solidFill>
                    <w14:schemeClr w14:val="tx1"/>
                  </w14:solidFill>
                </w14:textFill>
              </w:rPr>
              <w:t>领导力是领导者的个人素质、思维方式以及实践经验的具体体现，是领导者凭借其个人能力充分利用人力和客观条件以最低的成本解决问题从而提高做事效率的能力。青年干部是党的事业的生力军，提高青年干部领导能力不仅是青年一代自身发展的必然要求，也是参与国际竞争，实现中华民族伟大复兴的迫切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二</w:t>
            </w:r>
            <w:r>
              <w:rPr>
                <w:rFonts w:hint="eastAsia" w:ascii="黑体" w:hAnsi="黑体" w:eastAsia="黑体" w:cs="仿宋"/>
                <w:b/>
                <w:sz w:val="24"/>
              </w:rPr>
              <w:t>、党的二十届三中全会精神解读（</w:t>
            </w:r>
            <w:r>
              <w:rPr>
                <w:rFonts w:hint="eastAsia" w:ascii="黑体" w:hAnsi="黑体" w:eastAsia="黑体" w:cs="仿宋"/>
                <w:b/>
                <w:sz w:val="24"/>
                <w:lang w:val="en-US" w:eastAsia="zh-CN"/>
              </w:rPr>
              <w:t>1</w:t>
            </w:r>
            <w:r>
              <w:rPr>
                <w:rFonts w:ascii="黑体" w:hAnsi="黑体" w:eastAsia="黑体" w:cs="仿宋"/>
                <w:b/>
                <w:sz w:val="24"/>
              </w:rPr>
              <w:t>0</w:t>
            </w:r>
            <w:r>
              <w:rPr>
                <w:rFonts w:hint="eastAsia" w:ascii="黑体" w:hAnsi="黑体" w:eastAsia="黑体" w:cs="仿宋"/>
                <w:b/>
                <w:sz w:val="24"/>
              </w:rPr>
              <w:t>门）</w:t>
            </w:r>
          </w:p>
          <w:p>
            <w:pPr>
              <w:spacing w:line="360" w:lineRule="auto"/>
              <w:ind w:firstLine="482" w:firstLineChars="200"/>
              <w:rPr>
                <w:rFonts w:hint="eastAsia" w:eastAsia="宋体"/>
                <w:sz w:val="24"/>
                <w:lang w:eastAsia="zh-CN"/>
              </w:rPr>
            </w:pPr>
            <w:r>
              <w:rPr>
                <w:b/>
                <w:sz w:val="24"/>
              </w:rPr>
              <w:t>专题介绍：</w:t>
            </w:r>
            <w:r>
              <w:rPr>
                <w:rFonts w:hint="eastAsia" w:ascii="宋体" w:hAnsi="宋体" w:cs="宋体"/>
                <w:bCs/>
                <w:color w:val="000000" w:themeColor="text1"/>
                <w:sz w:val="24"/>
                <w14:textFill>
                  <w14:solidFill>
                    <w14:schemeClr w14:val="tx1"/>
                  </w14:solidFill>
                </w14:textFill>
              </w:rPr>
              <w:t>党的二十届三中全会</w:t>
            </w:r>
            <w:r>
              <w:rPr>
                <w:rFonts w:hint="eastAsia" w:ascii="宋体" w:hAnsi="宋体" w:cs="宋体"/>
                <w:bCs/>
                <w:color w:val="000000" w:themeColor="text1"/>
                <w:sz w:val="24"/>
                <w:lang w:val="en-US" w:eastAsia="zh-CN"/>
                <w14:textFill>
                  <w14:solidFill>
                    <w14:schemeClr w14:val="tx1"/>
                  </w14:solidFill>
                </w14:textFill>
              </w:rPr>
              <w:t>是一次重要的大会，要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r>
              <w:rPr>
                <w:rFonts w:hint="eastAsia" w:ascii="宋体" w:hAnsi="宋体" w:cs="宋体"/>
                <w:bCs/>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三</w:t>
            </w:r>
            <w:r>
              <w:rPr>
                <w:rFonts w:hint="eastAsia" w:ascii="黑体" w:hAnsi="黑体" w:eastAsia="黑体" w:cs="仿宋"/>
                <w:b/>
                <w:sz w:val="24"/>
              </w:rPr>
              <w:t>、</w:t>
            </w:r>
            <w:r>
              <w:rPr>
                <w:rFonts w:hint="eastAsia" w:ascii="黑体" w:hAnsi="黑体" w:eastAsia="黑体" w:cs="仿宋"/>
                <w:b/>
                <w:sz w:val="24"/>
                <w:lang w:val="en-US" w:eastAsia="zh-CN"/>
              </w:rPr>
              <w:t>团的</w:t>
            </w:r>
            <w:r>
              <w:rPr>
                <w:rFonts w:hint="eastAsia" w:ascii="黑体" w:hAnsi="黑体" w:eastAsia="黑体" w:cs="仿宋"/>
                <w:b/>
                <w:sz w:val="24"/>
              </w:rPr>
              <w:t>十九大精神解读（</w:t>
            </w:r>
            <w:r>
              <w:rPr>
                <w:rFonts w:hint="eastAsia" w:ascii="黑体" w:hAnsi="黑体" w:eastAsia="黑体" w:cs="仿宋"/>
                <w:b/>
                <w:sz w:val="24"/>
                <w:lang w:val="en-US" w:eastAsia="zh-CN"/>
              </w:rPr>
              <w:t>1</w:t>
            </w:r>
            <w:r>
              <w:rPr>
                <w:rFonts w:ascii="黑体" w:hAnsi="黑体" w:eastAsia="黑体" w:cs="仿宋"/>
                <w:b/>
                <w:sz w:val="24"/>
              </w:rPr>
              <w:t>0</w:t>
            </w:r>
            <w:r>
              <w:rPr>
                <w:rFonts w:hint="eastAsia" w:ascii="黑体" w:hAnsi="黑体" w:eastAsia="黑体" w:cs="仿宋"/>
                <w:b/>
                <w:sz w:val="24"/>
              </w:rPr>
              <w:t>门）</w:t>
            </w:r>
          </w:p>
          <w:p>
            <w:pPr>
              <w:spacing w:line="360" w:lineRule="auto"/>
              <w:ind w:firstLine="482" w:firstLineChars="200"/>
              <w:rPr>
                <w:b/>
                <w:sz w:val="24"/>
              </w:rPr>
            </w:pPr>
            <w:r>
              <w:rPr>
                <w:b/>
                <w:sz w:val="24"/>
              </w:rPr>
              <w:t>专题介绍：</w:t>
            </w:r>
            <w:r>
              <w:rPr>
                <w:rFonts w:hint="eastAsia" w:ascii="宋体" w:hAnsi="宋体" w:cs="宋体"/>
                <w:bCs/>
                <w:color w:val="000000" w:themeColor="text1"/>
                <w:sz w:val="24"/>
                <w14:textFill>
                  <w14:solidFill>
                    <w14:schemeClr w14:val="tx1"/>
                  </w14:solidFill>
                </w14:textFill>
              </w:rPr>
              <w:t>2023年是全面贯彻落实党的二十大精神的开局之年，也是共青团紧跟党迈上新的百年青春征程的起步之年。</w:t>
            </w:r>
            <w:r>
              <w:rPr>
                <w:rFonts w:hint="eastAsia" w:ascii="宋体" w:hAnsi="宋体" w:cs="宋体"/>
                <w:bCs/>
                <w:color w:val="000000" w:themeColor="text1"/>
                <w:sz w:val="24"/>
                <w:lang w:val="en-US" w:eastAsia="zh-CN"/>
                <w14:textFill>
                  <w14:solidFill>
                    <w14:schemeClr w14:val="tx1"/>
                  </w14:solidFill>
                </w14:textFill>
              </w:rPr>
              <w:t>中国共产主义青年团第十九次全国代表大会将于6月中旬召开</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要认真学习贯彻团的十九大精神，</w:t>
            </w:r>
            <w:r>
              <w:rPr>
                <w:rFonts w:hint="eastAsia" w:ascii="宋体" w:hAnsi="宋体" w:cs="宋体"/>
                <w:bCs/>
                <w:color w:val="000000" w:themeColor="text1"/>
                <w:sz w:val="24"/>
                <w14:textFill>
                  <w14:solidFill>
                    <w14:schemeClr w14:val="tx1"/>
                  </w14:solidFill>
                </w14:textFill>
              </w:rPr>
              <w:t>聚焦主责主业，履行政治职责，团结引领广大团员青年永远跟党走、奋进新征程、建功新时代</w:t>
            </w:r>
            <w:r>
              <w:rPr>
                <w:rFonts w:hint="eastAsia" w:ascii="宋体" w:hAnsi="宋体" w:cs="宋体"/>
                <w:bCs/>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四</w:t>
            </w:r>
            <w:r>
              <w:rPr>
                <w:rFonts w:hint="eastAsia" w:ascii="黑体" w:hAnsi="黑体" w:eastAsia="黑体" w:cs="仿宋"/>
                <w:b/>
                <w:sz w:val="24"/>
              </w:rPr>
              <w:t>、中国共产主义青年团基础团务（</w:t>
            </w:r>
            <w:r>
              <w:rPr>
                <w:rFonts w:hint="eastAsia" w:ascii="黑体" w:hAnsi="黑体" w:eastAsia="黑体" w:cs="仿宋"/>
                <w:b/>
                <w:sz w:val="24"/>
                <w:lang w:val="en-US" w:eastAsia="zh-CN"/>
              </w:rPr>
              <w:t>1</w:t>
            </w:r>
            <w:r>
              <w:rPr>
                <w:rFonts w:ascii="黑体" w:hAnsi="黑体" w:eastAsia="黑体" w:cs="仿宋"/>
                <w:b/>
                <w:sz w:val="24"/>
              </w:rPr>
              <w:t>0</w:t>
            </w:r>
            <w:r>
              <w:rPr>
                <w:rFonts w:hint="eastAsia" w:ascii="黑体" w:hAnsi="黑体" w:eastAsia="黑体" w:cs="仿宋"/>
                <w:b/>
                <w:sz w:val="24"/>
              </w:rPr>
              <w:t>门）</w:t>
            </w:r>
          </w:p>
          <w:p>
            <w:pPr>
              <w:spacing w:line="360" w:lineRule="auto"/>
              <w:ind w:firstLine="482" w:firstLineChars="200"/>
              <w:rPr>
                <w:b/>
                <w:sz w:val="24"/>
              </w:rPr>
            </w:pPr>
            <w:r>
              <w:rPr>
                <w:b/>
                <w:sz w:val="24"/>
              </w:rPr>
              <w:t>专题介绍：</w:t>
            </w:r>
            <w:r>
              <w:rPr>
                <w:rFonts w:hint="eastAsia" w:ascii="宋体" w:hAnsi="宋体" w:cs="宋体"/>
                <w:bCs/>
                <w:color w:val="000000" w:themeColor="text1"/>
                <w:sz w:val="24"/>
                <w14:textFill>
                  <w14:solidFill>
                    <w14:schemeClr w14:val="tx1"/>
                  </w14:solidFill>
                </w14:textFill>
              </w:rPr>
              <w:t>中国共产主义青年团是中国共产党领导的先进青年的群团组织，是广大青年在实践中学习中国特色社会主义和共产主义的学校，是中国共产党的助手和后备军。共青团的基础团务是指团组织在日常工作中所需要掌握的基本知识和技能</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是团组织开展工作的基础和保障。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五</w:t>
            </w:r>
            <w:r>
              <w:rPr>
                <w:rFonts w:hint="eastAsia" w:ascii="黑体" w:hAnsi="黑体" w:eastAsia="黑体" w:cs="仿宋"/>
                <w:b/>
                <w:sz w:val="24"/>
              </w:rPr>
              <w:t>、网络热点事件与青年思想政治引领（</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rFonts w:ascii="黑体" w:hAnsi="黑体" w:eastAsia="黑体" w:cs="仿宋"/>
                <w:b/>
                <w:sz w:val="24"/>
              </w:rPr>
            </w:pPr>
            <w:r>
              <w:rPr>
                <w:b/>
                <w:sz w:val="24"/>
              </w:rPr>
              <w:t>专题介绍：</w:t>
            </w:r>
            <w:r>
              <w:rPr>
                <w:rFonts w:hint="eastAsia" w:ascii="宋体" w:hAnsi="宋体" w:cs="宋体"/>
                <w:bCs/>
                <w:color w:val="000000" w:themeColor="text1"/>
                <w:sz w:val="24"/>
                <w14:textFill>
                  <w14:solidFill>
                    <w14:schemeClr w14:val="tx1"/>
                  </w14:solidFill>
                </w14:textFill>
              </w:rPr>
              <w:t>当前，以微信、微博、弹幕视频社区等为代表的网络新媒体蓬勃发展，早已融入青年的日常生活。在这些多种观念相互激荡的网络平台中，网络热点事件频发，青年长期受到各种思潮的影响，逐渐形成多元化的价值观。如何把握网络新媒体环境下的青年特点，用贴近青年、贴近时代的方式，引导青年坚定不移跟党走中国特色社会主义道路，是做好青年思想引领工作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六</w:t>
            </w:r>
            <w:r>
              <w:rPr>
                <w:rFonts w:hint="eastAsia" w:ascii="黑体" w:hAnsi="黑体" w:eastAsia="黑体" w:cs="仿宋"/>
                <w:b/>
                <w:sz w:val="24"/>
              </w:rPr>
              <w:t>、宣讲的方法与技巧（6门）</w:t>
            </w:r>
          </w:p>
          <w:p>
            <w:pPr>
              <w:spacing w:after="156" w:afterLines="50" w:line="360" w:lineRule="auto"/>
              <w:ind w:firstLine="482" w:firstLineChars="200"/>
              <w:rPr>
                <w:sz w:val="24"/>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理论本身是理性的、思辨的、抽象的，但宣传方式和表达形式可以是感性的、动人的甚至是幽默的。通过宣讲的方式，让广大人民群众认清大局与大势，增强发展的信心和认同感，</w:t>
            </w:r>
            <w:r>
              <w:rPr>
                <w:rFonts w:ascii="Arial" w:hAnsi="Arial" w:cs="Arial"/>
                <w:color w:val="000000" w:themeColor="text1"/>
                <w:sz w:val="24"/>
                <w:shd w:val="clear" w:color="auto" w:fill="FFFFFF"/>
                <w14:textFill>
                  <w14:solidFill>
                    <w14:schemeClr w14:val="tx1"/>
                  </w14:solidFill>
                </w14:textFill>
              </w:rPr>
              <w:t>对于推动党的宣传思想工作更好承担起举旗帜、聚民心、育新人、兴文化、展形象的使命任务，建设社会主义文化强国，具有十分重要的意义。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shd w:val="clear" w:color="auto" w:fill="5B9BD5" w:themeFill="accent1"/>
            <w:vAlign w:val="center"/>
          </w:tcPr>
          <w:p>
            <w:pPr>
              <w:jc w:val="center"/>
              <w:rPr>
                <w:b/>
              </w:rPr>
            </w:pPr>
            <w:r>
              <w:rPr>
                <w:rFonts w:hint="eastAsia"/>
                <w:b/>
              </w:rPr>
              <w:t>序号</w:t>
            </w:r>
          </w:p>
        </w:tc>
        <w:tc>
          <w:tcPr>
            <w:tcW w:w="6379" w:type="dxa"/>
            <w:gridSpan w:val="2"/>
            <w:shd w:val="clear" w:color="auto" w:fill="5B9BD5" w:themeFill="accent1"/>
            <w:vAlign w:val="center"/>
          </w:tcPr>
          <w:p>
            <w:pPr>
              <w:jc w:val="center"/>
              <w:rPr>
                <w:b/>
              </w:rPr>
            </w:pPr>
            <w:r>
              <w:rPr>
                <w:rFonts w:hint="eastAsia"/>
                <w:b/>
              </w:rPr>
              <w:t>课程名称</w:t>
            </w:r>
          </w:p>
        </w:tc>
        <w:tc>
          <w:tcPr>
            <w:tcW w:w="1071" w:type="dxa"/>
            <w:gridSpan w:val="2"/>
            <w:shd w:val="clear" w:color="auto" w:fill="5B9BD5" w:themeFill="accent1"/>
            <w:vAlign w:val="center"/>
          </w:tcPr>
          <w:p>
            <w:pPr>
              <w:jc w:val="center"/>
              <w:rPr>
                <w:b/>
              </w:rPr>
            </w:pPr>
            <w:r>
              <w:rPr>
                <w:rFonts w:hint="eastAsia"/>
                <w:b/>
              </w:rPr>
              <w:t>学时/门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1</w:t>
            </w:r>
          </w:p>
        </w:tc>
        <w:tc>
          <w:tcPr>
            <w:tcW w:w="6379" w:type="dxa"/>
            <w:gridSpan w:val="2"/>
            <w:vAlign w:val="center"/>
          </w:tcPr>
          <w:p>
            <w:pPr>
              <w:rPr>
                <w:rFonts w:ascii="宋体" w:hAnsi="宋体" w:cs="宋体"/>
                <w:color w:val="000000"/>
                <w:sz w:val="20"/>
                <w:szCs w:val="20"/>
              </w:rPr>
            </w:pPr>
            <w:r>
              <w:rPr>
                <w:rFonts w:hint="eastAsia" w:ascii="宋体" w:hAnsi="宋体" w:cs="宋体"/>
                <w:color w:val="000000"/>
                <w:sz w:val="20"/>
                <w:szCs w:val="20"/>
              </w:rPr>
              <w:t>宣讲的本质</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kern w:val="0"/>
                <w:sz w:val="20"/>
                <w:szCs w:val="20"/>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2</w:t>
            </w:r>
          </w:p>
        </w:tc>
        <w:tc>
          <w:tcPr>
            <w:tcW w:w="6379" w:type="dxa"/>
            <w:gridSpan w:val="2"/>
            <w:vAlign w:val="center"/>
          </w:tcPr>
          <w:p>
            <w:pPr>
              <w:rPr>
                <w:rFonts w:ascii="宋体" w:hAnsi="宋体" w:cs="宋体"/>
                <w:color w:val="000000"/>
                <w:sz w:val="20"/>
                <w:szCs w:val="20"/>
              </w:rPr>
            </w:pPr>
            <w:r>
              <w:rPr>
                <w:rFonts w:hint="eastAsia" w:ascii="宋体" w:hAnsi="宋体" w:cs="宋体"/>
                <w:color w:val="000000"/>
                <w:sz w:val="20"/>
                <w:szCs w:val="20"/>
              </w:rPr>
              <w:t>宣讲的目的</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kern w:val="0"/>
                <w:sz w:val="20"/>
                <w:szCs w:val="20"/>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3</w:t>
            </w:r>
          </w:p>
        </w:tc>
        <w:tc>
          <w:tcPr>
            <w:tcW w:w="6379" w:type="dxa"/>
            <w:gridSpan w:val="2"/>
            <w:vAlign w:val="center"/>
          </w:tcPr>
          <w:p>
            <w:pPr>
              <w:rPr>
                <w:rFonts w:ascii="宋体" w:hAnsi="宋体" w:cs="宋体"/>
                <w:color w:val="000000"/>
                <w:sz w:val="20"/>
                <w:szCs w:val="20"/>
              </w:rPr>
            </w:pPr>
            <w:r>
              <w:rPr>
                <w:rFonts w:hint="eastAsia" w:ascii="宋体" w:hAnsi="宋体" w:cs="宋体"/>
                <w:color w:val="000000"/>
                <w:sz w:val="20"/>
                <w:szCs w:val="20"/>
              </w:rPr>
              <w:t>宣讲的选题</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kern w:val="0"/>
                <w:sz w:val="20"/>
                <w:szCs w:val="20"/>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4</w:t>
            </w:r>
          </w:p>
        </w:tc>
        <w:tc>
          <w:tcPr>
            <w:tcW w:w="6379" w:type="dxa"/>
            <w:gridSpan w:val="2"/>
            <w:vAlign w:val="center"/>
          </w:tcPr>
          <w:p>
            <w:pPr>
              <w:rPr>
                <w:rFonts w:ascii="宋体" w:hAnsi="宋体" w:cs="宋体"/>
                <w:color w:val="000000"/>
                <w:sz w:val="20"/>
                <w:szCs w:val="20"/>
              </w:rPr>
            </w:pPr>
            <w:r>
              <w:rPr>
                <w:rFonts w:hint="eastAsia" w:ascii="宋体" w:hAnsi="宋体" w:cs="宋体"/>
                <w:color w:val="000000"/>
                <w:sz w:val="20"/>
                <w:szCs w:val="20"/>
              </w:rPr>
              <w:t>宣讲的设计</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kern w:val="0"/>
                <w:sz w:val="20"/>
                <w:szCs w:val="20"/>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5</w:t>
            </w:r>
          </w:p>
        </w:tc>
        <w:tc>
          <w:tcPr>
            <w:tcW w:w="6379" w:type="dxa"/>
            <w:gridSpan w:val="2"/>
            <w:vAlign w:val="center"/>
          </w:tcPr>
          <w:p>
            <w:pPr>
              <w:rPr>
                <w:rFonts w:ascii="宋体" w:hAnsi="宋体" w:cs="宋体"/>
                <w:color w:val="000000"/>
                <w:sz w:val="20"/>
                <w:szCs w:val="20"/>
              </w:rPr>
            </w:pPr>
            <w:r>
              <w:rPr>
                <w:rFonts w:hint="eastAsia" w:ascii="宋体" w:hAnsi="宋体" w:cs="宋体"/>
                <w:color w:val="000000"/>
                <w:sz w:val="20"/>
                <w:szCs w:val="20"/>
              </w:rPr>
              <w:t>宣讲的方式</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kern w:val="0"/>
                <w:sz w:val="20"/>
                <w:szCs w:val="20"/>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宋体" w:hAnsi="宋体" w:cs="宋体"/>
                <w:sz w:val="20"/>
                <w:szCs w:val="20"/>
              </w:rPr>
            </w:pPr>
            <w:r>
              <w:rPr>
                <w:rFonts w:hint="eastAsia" w:ascii="宋体" w:hAnsi="宋体" w:cs="宋体"/>
                <w:sz w:val="20"/>
                <w:szCs w:val="20"/>
              </w:rPr>
              <w:t>6</w:t>
            </w:r>
          </w:p>
        </w:tc>
        <w:tc>
          <w:tcPr>
            <w:tcW w:w="6379" w:type="dxa"/>
            <w:gridSpan w:val="2"/>
            <w:vAlign w:val="center"/>
          </w:tcPr>
          <w:p>
            <w:pPr>
              <w:rPr>
                <w:rFonts w:ascii="宋体" w:hAnsi="宋体" w:cs="宋体"/>
                <w:color w:val="000000"/>
                <w:sz w:val="20"/>
                <w:szCs w:val="20"/>
              </w:rPr>
            </w:pPr>
            <w:r>
              <w:rPr>
                <w:rFonts w:hint="eastAsia" w:ascii="宋体" w:hAnsi="宋体" w:cs="宋体"/>
                <w:color w:val="000000"/>
                <w:sz w:val="20"/>
                <w:szCs w:val="20"/>
              </w:rPr>
              <w:t>宣讲的技巧</w:t>
            </w:r>
          </w:p>
        </w:tc>
        <w:tc>
          <w:tcPr>
            <w:tcW w:w="1071" w:type="dxa"/>
            <w:gridSpan w:val="2"/>
            <w:vAlign w:val="center"/>
          </w:tcPr>
          <w:p>
            <w:pPr>
              <w:jc w:val="center"/>
              <w:rPr>
                <w:rFonts w:ascii="宋体" w:hAnsi="宋体" w:cs="宋体"/>
                <w:color w:val="000000"/>
                <w:sz w:val="20"/>
                <w:szCs w:val="20"/>
              </w:rPr>
            </w:pPr>
            <w:r>
              <w:rPr>
                <w:rFonts w:hint="eastAsia" w:ascii="宋体" w:hAnsi="宋体" w:cs="宋体"/>
                <w:color w:val="000000"/>
                <w:kern w:val="0"/>
                <w:sz w:val="20"/>
                <w:szCs w:val="20"/>
              </w:rPr>
              <w:t>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七</w:t>
            </w:r>
            <w:r>
              <w:rPr>
                <w:rFonts w:hint="eastAsia" w:ascii="黑体" w:hAnsi="黑体" w:eastAsia="黑体" w:cs="仿宋"/>
                <w:b/>
                <w:sz w:val="24"/>
              </w:rPr>
              <w:t>、新时代青年工作的战略地位（</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rFonts w:ascii="宋体" w:hAnsi="宋体" w:cs="宋体"/>
                <w:color w:val="000000"/>
                <w:kern w:val="0"/>
                <w:sz w:val="20"/>
                <w:szCs w:val="20"/>
              </w:rPr>
            </w:pPr>
            <w:r>
              <w:rPr>
                <w:b/>
                <w:sz w:val="24"/>
              </w:rPr>
              <w:t>专题介绍：</w:t>
            </w:r>
            <w:r>
              <w:rPr>
                <w:rFonts w:ascii="宋体" w:hAnsi="宋体" w:cs="宋体"/>
                <w:color w:val="000000" w:themeColor="text1"/>
                <w:sz w:val="24"/>
                <w:shd w:val="clear" w:color="auto" w:fill="FFFFFF"/>
                <w14:textFill>
                  <w14:solidFill>
                    <w14:schemeClr w14:val="tx1"/>
                  </w14:solidFill>
                </w14:textFill>
              </w:rPr>
              <w:t>“把青年一代培养造就成德智体美劳全面发展的社会主义建设者和接班人，是事关党和国家前途命运的重大战略任务，是全党的共同政治责任。” 习近平总书记关于青年工作的重要思想，从理论和实践相结合的高度明确了新时代青年工作的战略地位</w:t>
            </w:r>
            <w:r>
              <w:rPr>
                <w:rFonts w:hint="eastAsia" w:ascii="宋体" w:hAnsi="宋体" w:cs="宋体"/>
                <w:color w:val="000000" w:themeColor="text1"/>
                <w:sz w:val="24"/>
                <w:shd w:val="clear" w:color="auto" w:fill="FFFFFF"/>
                <w14:textFill>
                  <w14:solidFill>
                    <w14:schemeClr w14:val="tx1"/>
                  </w14:solidFill>
                </w14:textFill>
              </w:rPr>
              <w:t>，</w:t>
            </w:r>
            <w:r>
              <w:rPr>
                <w:rFonts w:ascii="宋体" w:hAnsi="宋体" w:cs="宋体"/>
                <w:color w:val="000000" w:themeColor="text1"/>
                <w:sz w:val="24"/>
                <w:shd w:val="clear" w:color="auto" w:fill="FFFFFF"/>
                <w14:textFill>
                  <w14:solidFill>
                    <w14:schemeClr w14:val="tx1"/>
                  </w14:solidFill>
                </w14:textFill>
              </w:rPr>
              <w:t>青年是标志时代的最灵敏的晴雨表，青年工作必须深入研究当代青年成长的新特点、新规律，紧跟时代步伐、把握青年脉搏，始终走在时代前列、青年前列。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十</w:t>
            </w:r>
            <w:r>
              <w:rPr>
                <w:rFonts w:hint="eastAsia" w:ascii="黑体" w:hAnsi="黑体" w:eastAsia="黑体" w:cs="仿宋"/>
                <w:b/>
                <w:sz w:val="24"/>
                <w:lang w:val="en-US" w:eastAsia="zh-CN"/>
              </w:rPr>
              <w:t>八</w:t>
            </w:r>
            <w:r>
              <w:rPr>
                <w:rFonts w:hint="eastAsia" w:ascii="黑体" w:hAnsi="黑体" w:eastAsia="黑体" w:cs="仿宋"/>
                <w:b/>
                <w:sz w:val="24"/>
              </w:rPr>
              <w:t>、</w:t>
            </w:r>
            <w:r>
              <w:rPr>
                <w:rFonts w:hint="eastAsia" w:ascii="黑体" w:hAnsi="黑体" w:eastAsia="黑体" w:cs="仿宋"/>
                <w:b/>
                <w:sz w:val="24"/>
                <w:lang w:val="en-US" w:eastAsia="zh-CN"/>
              </w:rPr>
              <w:t>当代</w:t>
            </w:r>
            <w:r>
              <w:rPr>
                <w:rFonts w:hint="eastAsia" w:ascii="黑体" w:hAnsi="黑体" w:eastAsia="黑体" w:cs="仿宋"/>
                <w:b/>
                <w:sz w:val="24"/>
              </w:rPr>
              <w:t>青年的历史使命（</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rFonts w:ascii="宋体" w:hAnsi="宋体" w:cs="宋体"/>
                <w:color w:val="000000"/>
                <w:kern w:val="0"/>
                <w:sz w:val="20"/>
                <w:szCs w:val="20"/>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一代人有一代人的长征。</w:t>
            </w:r>
            <w:r>
              <w:rPr>
                <w:rFonts w:ascii="宋体" w:hAnsi="宋体" w:cs="宋体"/>
                <w:color w:val="000000" w:themeColor="text1"/>
                <w:sz w:val="24"/>
                <w:shd w:val="clear" w:color="auto" w:fill="FFFFFF"/>
                <w14:textFill>
                  <w14:solidFill>
                    <w14:schemeClr w14:val="tx1"/>
                  </w14:solidFill>
                </w14:textFill>
              </w:rPr>
              <w:t>习近平</w:t>
            </w:r>
            <w:r>
              <w:rPr>
                <w:rFonts w:hint="eastAsia" w:ascii="宋体" w:hAnsi="宋体" w:cs="宋体"/>
                <w:color w:val="000000" w:themeColor="text1"/>
                <w:sz w:val="24"/>
                <w:shd w:val="clear" w:color="auto" w:fill="FFFFFF"/>
                <w14:textFill>
                  <w14:solidFill>
                    <w14:schemeClr w14:val="tx1"/>
                  </w14:solidFill>
                </w14:textFill>
              </w:rPr>
              <w:t>总书记</w:t>
            </w:r>
            <w:r>
              <w:rPr>
                <w:rFonts w:hint="eastAsia" w:ascii="宋体" w:hAnsi="宋体" w:cs="宋体"/>
                <w:color w:val="000000" w:themeColor="text1"/>
                <w:sz w:val="24"/>
                <w:shd w:val="clear" w:color="auto" w:fill="FFFFFF"/>
                <w:lang w:val="en-US" w:eastAsia="zh-CN"/>
                <w14:textFill>
                  <w14:solidFill>
                    <w14:schemeClr w14:val="tx1"/>
                  </w14:solidFill>
                </w14:textFill>
              </w:rPr>
              <w:t>深刻</w:t>
            </w:r>
            <w:r>
              <w:rPr>
                <w:rFonts w:ascii="宋体" w:hAnsi="宋体" w:cs="宋体"/>
                <w:color w:val="000000" w:themeColor="text1"/>
                <w:sz w:val="24"/>
                <w:shd w:val="clear" w:color="auto" w:fill="FFFFFF"/>
                <w14:textFill>
                  <w14:solidFill>
                    <w14:schemeClr w14:val="tx1"/>
                  </w14:solidFill>
                </w14:textFill>
              </w:rPr>
              <w:t>指出：新时代中国青年的使命，就是坚持中国共产党领导，同人民一道，为实现“两个一百年”奋斗目标、实现中华民族伟大复兴的中国梦而奋斗。青年兴则国家兴，青年强则国家强。在中华民族伟大复兴的关键时期，广大青年要树立坚定的理想信念，勇担时代重任，练就过硬本领，奏响更为激昂的青春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十九、共青团改革的深化与实践（</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b/>
                <w:sz w:val="24"/>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新时代以来，共青团认真落实习近平总书记重要要求，在全面深化改革的宏阔进程中，直面问题、破除顽瘴痼疾，大力推进改革攻坚，推动团的建设取得重要成果，团的引领力、组织力、服务力和大局贡献度显著提升。在实现第二个百年奋斗目标的新征程上，共青团必须始终成为紧跟党走在时代前列的先进组织，认真对照落实中国式现代化对共青团组织和工作改革创新的时代要求，推动共青团改革向纵深发展</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在全方位、高标准锻造中焕发出共青团昂扬向上的时代风貌。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lang w:val="en-US" w:eastAsia="zh-CN"/>
              </w:rPr>
              <w:t>二十</w:t>
            </w:r>
            <w:r>
              <w:rPr>
                <w:rFonts w:hint="eastAsia" w:ascii="黑体" w:hAnsi="黑体" w:eastAsia="黑体" w:cs="仿宋"/>
                <w:b/>
                <w:sz w:val="24"/>
              </w:rPr>
              <w:t>、我国青年政策解析与体系建设（</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b/>
                <w:sz w:val="24"/>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促进青年更好成长、更快发展是国家的基础性、战略性工程。青年发展规划是我国青年发展政策的重要顶层设计，是我国青年公共政策发展演进的集大成者</w:t>
            </w:r>
            <w:r>
              <w:rPr>
                <w:rFonts w:ascii="宋体" w:hAnsi="宋体" w:cs="宋体"/>
                <w:color w:val="000000" w:themeColor="text1"/>
                <w:sz w:val="24"/>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二十</w:t>
            </w:r>
            <w:r>
              <w:rPr>
                <w:rFonts w:hint="eastAsia" w:ascii="黑体" w:hAnsi="黑体" w:eastAsia="黑体" w:cs="仿宋"/>
                <w:b/>
                <w:sz w:val="24"/>
                <w:lang w:val="en-US" w:eastAsia="zh-CN"/>
              </w:rPr>
              <w:t>一</w:t>
            </w:r>
            <w:r>
              <w:rPr>
                <w:rFonts w:hint="eastAsia" w:ascii="黑体" w:hAnsi="黑体" w:eastAsia="黑体" w:cs="仿宋"/>
                <w:b/>
                <w:sz w:val="24"/>
              </w:rPr>
              <w:t>、新时代共青团的宣传思想文化工作（</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b/>
                <w:sz w:val="24"/>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习近平总书记深刻指出：“做好新形势下宣传思想工作，必须自觉承担起举旗帜、聚民心、育新人、兴文化、展形象的使命任务”。做好</w:t>
            </w:r>
            <w:r>
              <w:rPr>
                <w:rFonts w:hint="eastAsia" w:ascii="宋体" w:hAnsi="宋体" w:cs="宋体"/>
                <w:color w:val="000000" w:themeColor="text1"/>
                <w:sz w:val="24"/>
                <w:shd w:val="clear" w:color="auto" w:fill="FFFFFF"/>
                <w:lang w:val="en-US" w:eastAsia="zh-CN"/>
                <w14:textFill>
                  <w14:solidFill>
                    <w14:schemeClr w14:val="tx1"/>
                  </w14:solidFill>
                </w14:textFill>
              </w:rPr>
              <w:t>新时代</w:t>
            </w:r>
            <w:r>
              <w:rPr>
                <w:rFonts w:hint="eastAsia" w:ascii="宋体" w:hAnsi="宋体" w:cs="宋体"/>
                <w:color w:val="000000" w:themeColor="text1"/>
                <w:sz w:val="24"/>
                <w:shd w:val="clear" w:color="auto" w:fill="FFFFFF"/>
                <w14:textFill>
                  <w14:solidFill>
                    <w14:schemeClr w14:val="tx1"/>
                  </w14:solidFill>
                </w14:textFill>
              </w:rPr>
              <w:t>共青团宣传思想文化工作必须持续深入学习贯彻习近平总书记关于宣传思想工作的重要思想，坚持守正创新，引领广大青少年走在时代前列，努力成为堪当民族复兴重任的时代新人。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二十</w:t>
            </w:r>
            <w:r>
              <w:rPr>
                <w:rFonts w:hint="eastAsia" w:ascii="黑体" w:hAnsi="黑体" w:eastAsia="黑体" w:cs="仿宋"/>
                <w:b/>
                <w:sz w:val="24"/>
                <w:lang w:val="en-US" w:eastAsia="zh-CN"/>
              </w:rPr>
              <w:t>二</w:t>
            </w:r>
            <w:r>
              <w:rPr>
                <w:rFonts w:hint="eastAsia" w:ascii="黑体" w:hAnsi="黑体" w:eastAsia="黑体" w:cs="仿宋"/>
                <w:b/>
                <w:sz w:val="24"/>
              </w:rPr>
              <w:t>、新时代共青团的统战联络工作（</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rFonts w:ascii="宋体" w:hAnsi="宋体" w:cs="宋体"/>
                <w:color w:val="000000"/>
                <w:kern w:val="0"/>
                <w:sz w:val="20"/>
                <w:szCs w:val="20"/>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习近平总书记强调，统一战线是党的事业取得胜利的重要法宝，必须长期坚持；要求共青团敏于把握青年脉搏，依据青年工作生活方式新变化新特点，探索团的基层组织建设新思路新模式，带动青联、学联组织高扬爱国主义、社会主义旗帜，不断巩固和扩大青年爱国统一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二十</w:t>
            </w:r>
            <w:r>
              <w:rPr>
                <w:rFonts w:hint="eastAsia" w:ascii="黑体" w:hAnsi="黑体" w:eastAsia="黑体" w:cs="仿宋"/>
                <w:b/>
                <w:sz w:val="24"/>
                <w:lang w:val="en-US" w:eastAsia="zh-CN"/>
              </w:rPr>
              <w:t>三</w:t>
            </w:r>
            <w:r>
              <w:rPr>
                <w:rFonts w:hint="eastAsia" w:ascii="黑体" w:hAnsi="黑体" w:eastAsia="黑体" w:cs="仿宋"/>
                <w:b/>
                <w:sz w:val="24"/>
              </w:rPr>
              <w:t>、青年创新思维与创新能力培养（</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b/>
                <w:sz w:val="24"/>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重视创新思维是马克思主义的优良传统，创新是当前我国全面建设社会主义现代化国家的重要动力和关键一招，是实现中华民族伟大复兴的现实需要和内在要求，是中国日益走近世界舞台中央为世界作出更多贡献的必然选择和重要途径。“未来属于青年，希望寄予青年”，</w:t>
            </w:r>
            <w:r>
              <w:rPr>
                <w:rFonts w:ascii="宋体" w:hAnsi="宋体" w:cs="宋体"/>
                <w:color w:val="000000" w:themeColor="text1"/>
                <w:sz w:val="24"/>
                <w:shd w:val="clear" w:color="auto" w:fill="FFFFFF"/>
                <w14:textFill>
                  <w14:solidFill>
                    <w14:schemeClr w14:val="tx1"/>
                  </w14:solidFill>
                </w14:textFill>
              </w:rPr>
              <w:t>青年是社会上最富活力、最具创新精神的群体之一</w:t>
            </w:r>
            <w:r>
              <w:rPr>
                <w:rFonts w:hint="eastAsia" w:ascii="宋体" w:hAnsi="宋体" w:cs="宋体"/>
                <w:color w:val="000000" w:themeColor="text1"/>
                <w:sz w:val="24"/>
                <w:shd w:val="clear" w:color="auto" w:fill="FFFFFF"/>
                <w14:textFill>
                  <w14:solidFill>
                    <w14:schemeClr w14:val="tx1"/>
                  </w14:solidFill>
                </w14:textFill>
              </w:rPr>
              <w:t>，是推动国家创新发展的重要力量，因此，青年创新思维与创新能力培育具有关键意义。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spacing w:after="156" w:afterLines="50" w:line="360" w:lineRule="auto"/>
              <w:ind w:left="97" w:leftChars="46"/>
              <w:jc w:val="left"/>
              <w:rPr>
                <w:rFonts w:ascii="黑体" w:hAnsi="黑体" w:eastAsia="黑体" w:cs="仿宋"/>
                <w:b/>
                <w:sz w:val="24"/>
              </w:rPr>
            </w:pPr>
            <w:r>
              <w:rPr>
                <w:rFonts w:hint="eastAsia" w:ascii="黑体" w:hAnsi="黑体" w:eastAsia="黑体" w:cs="仿宋"/>
                <w:b/>
                <w:sz w:val="24"/>
              </w:rPr>
              <w:t>二十</w:t>
            </w:r>
            <w:r>
              <w:rPr>
                <w:rFonts w:hint="eastAsia" w:ascii="黑体" w:hAnsi="黑体" w:eastAsia="黑体" w:cs="仿宋"/>
                <w:b/>
                <w:sz w:val="24"/>
                <w:lang w:val="en-US" w:eastAsia="zh-CN"/>
              </w:rPr>
              <w:t>四</w:t>
            </w:r>
            <w:r>
              <w:rPr>
                <w:rFonts w:hint="eastAsia" w:ascii="黑体" w:hAnsi="黑体" w:eastAsia="黑体" w:cs="仿宋"/>
                <w:b/>
                <w:sz w:val="24"/>
              </w:rPr>
              <w:t>、</w:t>
            </w:r>
            <w:r>
              <w:rPr>
                <w:rFonts w:hint="eastAsia" w:ascii="黑体" w:hAnsi="黑体" w:eastAsia="黑体" w:cs="仿宋"/>
                <w:b/>
                <w:sz w:val="24"/>
                <w:lang w:val="en-US" w:eastAsia="zh-CN"/>
              </w:rPr>
              <w:t>青少年心理辅导</w:t>
            </w:r>
            <w:r>
              <w:rPr>
                <w:rFonts w:hint="eastAsia" w:ascii="黑体" w:hAnsi="黑体" w:eastAsia="黑体" w:cs="仿宋"/>
                <w:b/>
                <w:sz w:val="24"/>
              </w:rPr>
              <w:t>（</w:t>
            </w:r>
            <w:r>
              <w:rPr>
                <w:rFonts w:ascii="黑体" w:hAnsi="黑体" w:eastAsia="黑体" w:cs="仿宋"/>
                <w:b/>
                <w:sz w:val="24"/>
              </w:rPr>
              <w:t>10</w:t>
            </w:r>
            <w:r>
              <w:rPr>
                <w:rFonts w:hint="eastAsia" w:ascii="黑体" w:hAnsi="黑体" w:eastAsia="黑体" w:cs="仿宋"/>
                <w:b/>
                <w:sz w:val="24"/>
              </w:rPr>
              <w:t>门）</w:t>
            </w:r>
          </w:p>
          <w:p>
            <w:pPr>
              <w:spacing w:after="156" w:afterLines="50" w:line="360" w:lineRule="auto"/>
              <w:ind w:left="97" w:leftChars="46" w:firstLine="482" w:firstLineChars="200"/>
              <w:rPr>
                <w:b/>
                <w:sz w:val="24"/>
              </w:rPr>
            </w:pPr>
            <w:r>
              <w:rPr>
                <w:b/>
                <w:sz w:val="24"/>
              </w:rPr>
              <w:t>专题介绍：</w:t>
            </w:r>
            <w:r>
              <w:rPr>
                <w:rFonts w:hint="eastAsia" w:ascii="宋体" w:hAnsi="宋体" w:cs="宋体"/>
                <w:color w:val="000000" w:themeColor="text1"/>
                <w:sz w:val="24"/>
                <w:shd w:val="clear" w:color="auto" w:fill="FFFFFF"/>
                <w14:textFill>
                  <w14:solidFill>
                    <w14:schemeClr w14:val="tx1"/>
                  </w14:solidFill>
                </w14:textFill>
              </w:rPr>
              <w:t>青少年时期是人生重要的成长时期。中国科学院心理研究所发布的《中国国民心理健康发展报告(2021-2022)》显示，在参与调查的3万多名青少年中，有14.8%存在不同程度的抑郁风险。</w:t>
            </w:r>
            <w:r>
              <w:rPr>
                <w:rFonts w:hint="eastAsia" w:ascii="宋体" w:hAnsi="宋体" w:cs="宋体"/>
                <w:color w:val="000000" w:themeColor="text1"/>
                <w:sz w:val="24"/>
                <w:shd w:val="clear" w:color="auto" w:fill="FFFFFF"/>
                <w:lang w:val="en-US" w:eastAsia="zh-CN"/>
                <w14:textFill>
                  <w14:solidFill>
                    <w14:schemeClr w14:val="tx1"/>
                  </w14:solidFill>
                </w14:textFill>
              </w:rPr>
              <w:t>做好青少年</w:t>
            </w:r>
            <w:r>
              <w:rPr>
                <w:rFonts w:hint="eastAsia" w:ascii="宋体" w:hAnsi="宋体" w:cs="宋体"/>
                <w:color w:val="000000" w:themeColor="text1"/>
                <w:sz w:val="24"/>
                <w:shd w:val="clear" w:color="auto" w:fill="FFFFFF"/>
                <w14:textFill>
                  <w14:solidFill>
                    <w14:schemeClr w14:val="tx1"/>
                  </w14:solidFill>
                </w14:textFill>
              </w:rPr>
              <w:t>心理</w:t>
            </w:r>
            <w:r>
              <w:rPr>
                <w:rFonts w:hint="eastAsia" w:ascii="宋体" w:hAnsi="宋体" w:cs="宋体"/>
                <w:color w:val="000000" w:themeColor="text1"/>
                <w:sz w:val="24"/>
                <w:shd w:val="clear" w:color="auto" w:fill="FFFFFF"/>
                <w:lang w:val="en-US" w:eastAsia="zh-CN"/>
                <w14:textFill>
                  <w14:solidFill>
                    <w14:schemeClr w14:val="tx1"/>
                  </w14:solidFill>
                </w14:textFill>
              </w:rPr>
              <w:t>辅导，要</w:t>
            </w:r>
            <w:r>
              <w:rPr>
                <w:rFonts w:hint="eastAsia" w:ascii="宋体" w:hAnsi="宋体" w:cs="宋体"/>
                <w:color w:val="000000" w:themeColor="text1"/>
                <w:sz w:val="24"/>
                <w:shd w:val="clear" w:color="auto" w:fill="FFFFFF"/>
                <w14:textFill>
                  <w14:solidFill>
                    <w14:schemeClr w14:val="tx1"/>
                  </w14:solidFill>
                </w14:textFill>
              </w:rPr>
              <w:t>落实立德树人根本任务</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坚持健康第一的教育理念</w:t>
            </w:r>
            <w:r>
              <w:rPr>
                <w:rFonts w:hint="eastAsia" w:ascii="宋体" w:hAnsi="宋体" w:cs="宋体"/>
                <w:color w:val="000000" w:themeColor="text1"/>
                <w:sz w:val="24"/>
                <w:shd w:val="clear" w:color="auto" w:fill="FFFFFF"/>
                <w:lang w:eastAsia="zh-CN"/>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多措并举促进</w:t>
            </w:r>
            <w:r>
              <w:rPr>
                <w:rFonts w:hint="eastAsia" w:ascii="宋体" w:hAnsi="宋体" w:cs="宋体"/>
                <w:color w:val="000000" w:themeColor="text1"/>
                <w:sz w:val="24"/>
                <w:shd w:val="clear" w:color="auto" w:fill="FFFFFF"/>
                <w:lang w:val="en-US" w:eastAsia="zh-CN"/>
                <w14:textFill>
                  <w14:solidFill>
                    <w14:schemeClr w14:val="tx1"/>
                  </w14:solidFill>
                </w14:textFill>
              </w:rPr>
              <w:t>青少年</w:t>
            </w:r>
            <w:r>
              <w:rPr>
                <w:rFonts w:hint="eastAsia" w:ascii="宋体" w:hAnsi="宋体" w:cs="宋体"/>
                <w:color w:val="000000" w:themeColor="text1"/>
                <w:sz w:val="24"/>
                <w:shd w:val="clear" w:color="auto" w:fill="FFFFFF"/>
                <w14:textFill>
                  <w14:solidFill>
                    <w14:schemeClr w14:val="tx1"/>
                  </w14:solidFill>
                </w14:textFill>
              </w:rPr>
              <w:t>心理健康，为青少年健康成长营造良好环境。</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467058"/>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16"/>
        <w:szCs w:val="16"/>
      </w:rPr>
    </w:pPr>
    <w:r>
      <w:rPr>
        <w:rFonts w:hint="eastAsia" w:ascii="宋体" w:hAnsi="宋体" w:cs="宋体"/>
        <w:sz w:val="16"/>
        <w:szCs w:val="16"/>
      </w:rPr>
      <w:t>中青致学（北京）教育科技有限公司                                                        202</w:t>
    </w:r>
    <w:r>
      <w:rPr>
        <w:rFonts w:hint="eastAsia" w:ascii="宋体" w:hAnsi="宋体" w:cs="宋体"/>
        <w:sz w:val="16"/>
        <w:szCs w:val="16"/>
        <w:lang w:val="en-US" w:eastAsia="zh-CN"/>
      </w:rPr>
      <w:t>3</w:t>
    </w:r>
    <w:r>
      <w:rPr>
        <w:rFonts w:hint="eastAsia" w:ascii="宋体" w:hAnsi="宋体" w:cs="宋体"/>
        <w:sz w:val="16"/>
        <w:szCs w:val="16"/>
      </w:rPr>
      <w:t>年</w:t>
    </w:r>
    <w:r>
      <w:rPr>
        <w:rFonts w:hint="eastAsia" w:ascii="宋体" w:hAnsi="宋体" w:cs="宋体"/>
        <w:sz w:val="16"/>
        <w:szCs w:val="16"/>
        <w:lang w:val="en-US" w:eastAsia="zh-CN"/>
      </w:rPr>
      <w:t>06</w:t>
    </w:r>
    <w:r>
      <w:rPr>
        <w:rFonts w:hint="eastAsia" w:ascii="宋体" w:hAnsi="宋体" w:cs="宋体"/>
        <w:sz w:val="16"/>
        <w:szCs w:val="16"/>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zlmNzYxNjdjM2JiOTQ3ZjVjNDAwZjY2Mzc0NWIifQ=="/>
  </w:docVars>
  <w:rsids>
    <w:rsidRoot w:val="00172A27"/>
    <w:rsid w:val="000319D5"/>
    <w:rsid w:val="0003771B"/>
    <w:rsid w:val="0004303C"/>
    <w:rsid w:val="000A0C33"/>
    <w:rsid w:val="000B56FE"/>
    <w:rsid w:val="000B7D2F"/>
    <w:rsid w:val="000D4E49"/>
    <w:rsid w:val="000D4F05"/>
    <w:rsid w:val="000E6FF1"/>
    <w:rsid w:val="000F3046"/>
    <w:rsid w:val="000F7848"/>
    <w:rsid w:val="00121F96"/>
    <w:rsid w:val="00121FCD"/>
    <w:rsid w:val="00130081"/>
    <w:rsid w:val="00131BDF"/>
    <w:rsid w:val="00142CC8"/>
    <w:rsid w:val="0014586C"/>
    <w:rsid w:val="00150409"/>
    <w:rsid w:val="00151F6C"/>
    <w:rsid w:val="001533CF"/>
    <w:rsid w:val="00162DC7"/>
    <w:rsid w:val="00165C97"/>
    <w:rsid w:val="00172A27"/>
    <w:rsid w:val="00175B45"/>
    <w:rsid w:val="00181413"/>
    <w:rsid w:val="00193A5D"/>
    <w:rsid w:val="001B0702"/>
    <w:rsid w:val="001B74CA"/>
    <w:rsid w:val="001C583B"/>
    <w:rsid w:val="001D1649"/>
    <w:rsid w:val="001E4A80"/>
    <w:rsid w:val="001E658B"/>
    <w:rsid w:val="001F1EC4"/>
    <w:rsid w:val="001F7582"/>
    <w:rsid w:val="00241658"/>
    <w:rsid w:val="00246935"/>
    <w:rsid w:val="00254084"/>
    <w:rsid w:val="00254F19"/>
    <w:rsid w:val="002633FF"/>
    <w:rsid w:val="00287CC2"/>
    <w:rsid w:val="002A098E"/>
    <w:rsid w:val="002C3C5C"/>
    <w:rsid w:val="002C413A"/>
    <w:rsid w:val="002C6829"/>
    <w:rsid w:val="002D0947"/>
    <w:rsid w:val="002D4132"/>
    <w:rsid w:val="002D4E7D"/>
    <w:rsid w:val="00305E99"/>
    <w:rsid w:val="00311C25"/>
    <w:rsid w:val="00317E89"/>
    <w:rsid w:val="0034066B"/>
    <w:rsid w:val="00357E29"/>
    <w:rsid w:val="00361607"/>
    <w:rsid w:val="003712A8"/>
    <w:rsid w:val="00383923"/>
    <w:rsid w:val="003871BC"/>
    <w:rsid w:val="00393357"/>
    <w:rsid w:val="00397489"/>
    <w:rsid w:val="00397A60"/>
    <w:rsid w:val="00397CC7"/>
    <w:rsid w:val="003A21BE"/>
    <w:rsid w:val="003A2D14"/>
    <w:rsid w:val="003A4D5F"/>
    <w:rsid w:val="003A72A4"/>
    <w:rsid w:val="003B2DBF"/>
    <w:rsid w:val="003B5429"/>
    <w:rsid w:val="003E2BC2"/>
    <w:rsid w:val="003E71B5"/>
    <w:rsid w:val="003F4E63"/>
    <w:rsid w:val="00415E22"/>
    <w:rsid w:val="00422F89"/>
    <w:rsid w:val="0044216E"/>
    <w:rsid w:val="0044450D"/>
    <w:rsid w:val="004502C6"/>
    <w:rsid w:val="00453135"/>
    <w:rsid w:val="00467F6A"/>
    <w:rsid w:val="004B36C7"/>
    <w:rsid w:val="004C0399"/>
    <w:rsid w:val="004C4628"/>
    <w:rsid w:val="004C711B"/>
    <w:rsid w:val="004C7565"/>
    <w:rsid w:val="004D42A6"/>
    <w:rsid w:val="004D6B96"/>
    <w:rsid w:val="004E3D0B"/>
    <w:rsid w:val="00513EF4"/>
    <w:rsid w:val="00521DED"/>
    <w:rsid w:val="0053517B"/>
    <w:rsid w:val="00537C28"/>
    <w:rsid w:val="005415C8"/>
    <w:rsid w:val="00544C7E"/>
    <w:rsid w:val="00546F5A"/>
    <w:rsid w:val="00550627"/>
    <w:rsid w:val="005526FC"/>
    <w:rsid w:val="005719C2"/>
    <w:rsid w:val="005824FF"/>
    <w:rsid w:val="00583F75"/>
    <w:rsid w:val="00586B15"/>
    <w:rsid w:val="00594172"/>
    <w:rsid w:val="00594A63"/>
    <w:rsid w:val="00594B6A"/>
    <w:rsid w:val="00596C7E"/>
    <w:rsid w:val="005A1228"/>
    <w:rsid w:val="005C37EF"/>
    <w:rsid w:val="005C3F8C"/>
    <w:rsid w:val="005C7538"/>
    <w:rsid w:val="005C7A40"/>
    <w:rsid w:val="005C7B7B"/>
    <w:rsid w:val="005D2C99"/>
    <w:rsid w:val="005E7D1B"/>
    <w:rsid w:val="005F2722"/>
    <w:rsid w:val="005F2B0D"/>
    <w:rsid w:val="005F7CAA"/>
    <w:rsid w:val="00610E68"/>
    <w:rsid w:val="00647764"/>
    <w:rsid w:val="00651251"/>
    <w:rsid w:val="00656864"/>
    <w:rsid w:val="0066515B"/>
    <w:rsid w:val="0067566E"/>
    <w:rsid w:val="00677813"/>
    <w:rsid w:val="006811CE"/>
    <w:rsid w:val="0068425D"/>
    <w:rsid w:val="006A500D"/>
    <w:rsid w:val="006C292F"/>
    <w:rsid w:val="006D1100"/>
    <w:rsid w:val="006D7553"/>
    <w:rsid w:val="006E4434"/>
    <w:rsid w:val="006F0D0E"/>
    <w:rsid w:val="00731A6F"/>
    <w:rsid w:val="00733F56"/>
    <w:rsid w:val="007523B6"/>
    <w:rsid w:val="00765F9E"/>
    <w:rsid w:val="00776469"/>
    <w:rsid w:val="00776535"/>
    <w:rsid w:val="00783934"/>
    <w:rsid w:val="00787461"/>
    <w:rsid w:val="00790B35"/>
    <w:rsid w:val="007913A7"/>
    <w:rsid w:val="007B0579"/>
    <w:rsid w:val="007B7248"/>
    <w:rsid w:val="007C2035"/>
    <w:rsid w:val="007C55EF"/>
    <w:rsid w:val="007D77F4"/>
    <w:rsid w:val="007D7FDD"/>
    <w:rsid w:val="007E0420"/>
    <w:rsid w:val="007E1B38"/>
    <w:rsid w:val="00800715"/>
    <w:rsid w:val="00806281"/>
    <w:rsid w:val="00806DBF"/>
    <w:rsid w:val="00814373"/>
    <w:rsid w:val="00814E15"/>
    <w:rsid w:val="0082600D"/>
    <w:rsid w:val="00842355"/>
    <w:rsid w:val="00846780"/>
    <w:rsid w:val="008473F0"/>
    <w:rsid w:val="00850B74"/>
    <w:rsid w:val="00852954"/>
    <w:rsid w:val="00854C95"/>
    <w:rsid w:val="008621DE"/>
    <w:rsid w:val="00867C8E"/>
    <w:rsid w:val="00877AC0"/>
    <w:rsid w:val="008859E4"/>
    <w:rsid w:val="00887391"/>
    <w:rsid w:val="00892868"/>
    <w:rsid w:val="008929E4"/>
    <w:rsid w:val="008C5A3C"/>
    <w:rsid w:val="008D1832"/>
    <w:rsid w:val="008E086D"/>
    <w:rsid w:val="008E7424"/>
    <w:rsid w:val="008F34A9"/>
    <w:rsid w:val="00944AE4"/>
    <w:rsid w:val="00946565"/>
    <w:rsid w:val="00962D47"/>
    <w:rsid w:val="00972772"/>
    <w:rsid w:val="00980814"/>
    <w:rsid w:val="009B151F"/>
    <w:rsid w:val="009C15C4"/>
    <w:rsid w:val="009C197D"/>
    <w:rsid w:val="009C1F0E"/>
    <w:rsid w:val="009C6386"/>
    <w:rsid w:val="009E663F"/>
    <w:rsid w:val="00A07E15"/>
    <w:rsid w:val="00A14A00"/>
    <w:rsid w:val="00A34971"/>
    <w:rsid w:val="00A37ADF"/>
    <w:rsid w:val="00A40790"/>
    <w:rsid w:val="00A67C50"/>
    <w:rsid w:val="00AA45D6"/>
    <w:rsid w:val="00AB490A"/>
    <w:rsid w:val="00AB6AC5"/>
    <w:rsid w:val="00AB7DB8"/>
    <w:rsid w:val="00AD65D5"/>
    <w:rsid w:val="00AE16A2"/>
    <w:rsid w:val="00AF079E"/>
    <w:rsid w:val="00AF5ED4"/>
    <w:rsid w:val="00B10D66"/>
    <w:rsid w:val="00B16AEB"/>
    <w:rsid w:val="00B17433"/>
    <w:rsid w:val="00B22610"/>
    <w:rsid w:val="00B27233"/>
    <w:rsid w:val="00B604DF"/>
    <w:rsid w:val="00B6623D"/>
    <w:rsid w:val="00B752CF"/>
    <w:rsid w:val="00B917A1"/>
    <w:rsid w:val="00B9240A"/>
    <w:rsid w:val="00BA3CCB"/>
    <w:rsid w:val="00BC7B70"/>
    <w:rsid w:val="00BD4702"/>
    <w:rsid w:val="00BD4FC3"/>
    <w:rsid w:val="00BE3A1A"/>
    <w:rsid w:val="00BE4805"/>
    <w:rsid w:val="00BE65FE"/>
    <w:rsid w:val="00BF1170"/>
    <w:rsid w:val="00BF4D25"/>
    <w:rsid w:val="00C058A8"/>
    <w:rsid w:val="00C07D9A"/>
    <w:rsid w:val="00C1026E"/>
    <w:rsid w:val="00C10344"/>
    <w:rsid w:val="00C10BAA"/>
    <w:rsid w:val="00C25E61"/>
    <w:rsid w:val="00C2746C"/>
    <w:rsid w:val="00C34CF7"/>
    <w:rsid w:val="00C3551B"/>
    <w:rsid w:val="00C61067"/>
    <w:rsid w:val="00C638B9"/>
    <w:rsid w:val="00C71200"/>
    <w:rsid w:val="00C82191"/>
    <w:rsid w:val="00C84622"/>
    <w:rsid w:val="00C854C4"/>
    <w:rsid w:val="00C87917"/>
    <w:rsid w:val="00CA3086"/>
    <w:rsid w:val="00CB77A6"/>
    <w:rsid w:val="00CC6619"/>
    <w:rsid w:val="00CC72D5"/>
    <w:rsid w:val="00CD376C"/>
    <w:rsid w:val="00CD3DD0"/>
    <w:rsid w:val="00CD551B"/>
    <w:rsid w:val="00CE7505"/>
    <w:rsid w:val="00CF3582"/>
    <w:rsid w:val="00CF6A10"/>
    <w:rsid w:val="00CF7B00"/>
    <w:rsid w:val="00D0783B"/>
    <w:rsid w:val="00D23D49"/>
    <w:rsid w:val="00D25629"/>
    <w:rsid w:val="00D37C49"/>
    <w:rsid w:val="00D418EA"/>
    <w:rsid w:val="00D574B5"/>
    <w:rsid w:val="00D609FD"/>
    <w:rsid w:val="00D72167"/>
    <w:rsid w:val="00D82274"/>
    <w:rsid w:val="00D868D1"/>
    <w:rsid w:val="00D90772"/>
    <w:rsid w:val="00DB3D1C"/>
    <w:rsid w:val="00DB4B0B"/>
    <w:rsid w:val="00DB52B8"/>
    <w:rsid w:val="00DB5A20"/>
    <w:rsid w:val="00DE2D53"/>
    <w:rsid w:val="00E356DB"/>
    <w:rsid w:val="00E436AA"/>
    <w:rsid w:val="00E6541F"/>
    <w:rsid w:val="00E67853"/>
    <w:rsid w:val="00E747E8"/>
    <w:rsid w:val="00E840A0"/>
    <w:rsid w:val="00E853CA"/>
    <w:rsid w:val="00E90F2C"/>
    <w:rsid w:val="00EA4317"/>
    <w:rsid w:val="00EC1264"/>
    <w:rsid w:val="00EE26BE"/>
    <w:rsid w:val="00EE4AFF"/>
    <w:rsid w:val="00EE629C"/>
    <w:rsid w:val="00EF0898"/>
    <w:rsid w:val="00EF1DD0"/>
    <w:rsid w:val="00EF7DDD"/>
    <w:rsid w:val="00F11140"/>
    <w:rsid w:val="00F31052"/>
    <w:rsid w:val="00F31166"/>
    <w:rsid w:val="00F432C9"/>
    <w:rsid w:val="00F43EB4"/>
    <w:rsid w:val="00F5398B"/>
    <w:rsid w:val="00F721F8"/>
    <w:rsid w:val="00F75A89"/>
    <w:rsid w:val="00F75FB4"/>
    <w:rsid w:val="00F87DC4"/>
    <w:rsid w:val="00F95C17"/>
    <w:rsid w:val="00FC0D00"/>
    <w:rsid w:val="00FC68C7"/>
    <w:rsid w:val="00FD4161"/>
    <w:rsid w:val="00FD4380"/>
    <w:rsid w:val="00FD6242"/>
    <w:rsid w:val="00FE45DE"/>
    <w:rsid w:val="00FE588B"/>
    <w:rsid w:val="00FF2FE4"/>
    <w:rsid w:val="010E28AB"/>
    <w:rsid w:val="013563EC"/>
    <w:rsid w:val="01422176"/>
    <w:rsid w:val="01F47A07"/>
    <w:rsid w:val="0267423A"/>
    <w:rsid w:val="02815616"/>
    <w:rsid w:val="02AB7964"/>
    <w:rsid w:val="03114AA3"/>
    <w:rsid w:val="03392B62"/>
    <w:rsid w:val="03D32E3F"/>
    <w:rsid w:val="04C44930"/>
    <w:rsid w:val="050272D8"/>
    <w:rsid w:val="05464055"/>
    <w:rsid w:val="05EC61B4"/>
    <w:rsid w:val="05F26710"/>
    <w:rsid w:val="065A5662"/>
    <w:rsid w:val="06675278"/>
    <w:rsid w:val="06D84DE5"/>
    <w:rsid w:val="06E90863"/>
    <w:rsid w:val="06F814E9"/>
    <w:rsid w:val="071B2638"/>
    <w:rsid w:val="07762B7A"/>
    <w:rsid w:val="077D4FC2"/>
    <w:rsid w:val="07873D5B"/>
    <w:rsid w:val="08916E9D"/>
    <w:rsid w:val="08D05EE2"/>
    <w:rsid w:val="08FB42C6"/>
    <w:rsid w:val="09F158A1"/>
    <w:rsid w:val="09F20487"/>
    <w:rsid w:val="0ACF51EA"/>
    <w:rsid w:val="0B4E475D"/>
    <w:rsid w:val="0B7B504C"/>
    <w:rsid w:val="0BE37A36"/>
    <w:rsid w:val="0C865A5C"/>
    <w:rsid w:val="0CD04679"/>
    <w:rsid w:val="0D224C0A"/>
    <w:rsid w:val="0D3F3EF3"/>
    <w:rsid w:val="0DB461AA"/>
    <w:rsid w:val="0E7D3BC0"/>
    <w:rsid w:val="0F451083"/>
    <w:rsid w:val="0F635309"/>
    <w:rsid w:val="0F655282"/>
    <w:rsid w:val="0F94453D"/>
    <w:rsid w:val="0FD950B5"/>
    <w:rsid w:val="0FF23DFD"/>
    <w:rsid w:val="10087F36"/>
    <w:rsid w:val="100A7BB1"/>
    <w:rsid w:val="10733DF9"/>
    <w:rsid w:val="10B262A5"/>
    <w:rsid w:val="10D401CC"/>
    <w:rsid w:val="119050D2"/>
    <w:rsid w:val="12084DA5"/>
    <w:rsid w:val="12274ABF"/>
    <w:rsid w:val="128E7608"/>
    <w:rsid w:val="12A52565"/>
    <w:rsid w:val="133E5E77"/>
    <w:rsid w:val="1422601D"/>
    <w:rsid w:val="14E62C49"/>
    <w:rsid w:val="150267DD"/>
    <w:rsid w:val="15154C3F"/>
    <w:rsid w:val="15371D30"/>
    <w:rsid w:val="154021CA"/>
    <w:rsid w:val="159C6663"/>
    <w:rsid w:val="15A008B0"/>
    <w:rsid w:val="15A42B8E"/>
    <w:rsid w:val="15A44DFE"/>
    <w:rsid w:val="16E44E9A"/>
    <w:rsid w:val="17BC7F0C"/>
    <w:rsid w:val="17D75F97"/>
    <w:rsid w:val="17E12329"/>
    <w:rsid w:val="17EF6849"/>
    <w:rsid w:val="18133ACD"/>
    <w:rsid w:val="182631A7"/>
    <w:rsid w:val="18B35D9B"/>
    <w:rsid w:val="190F2010"/>
    <w:rsid w:val="19221E6D"/>
    <w:rsid w:val="19805192"/>
    <w:rsid w:val="19E805B2"/>
    <w:rsid w:val="19E911D4"/>
    <w:rsid w:val="1A484A9E"/>
    <w:rsid w:val="1B291E81"/>
    <w:rsid w:val="1B471F7F"/>
    <w:rsid w:val="1B8847D2"/>
    <w:rsid w:val="1B981CB5"/>
    <w:rsid w:val="1C0B74CB"/>
    <w:rsid w:val="1C46476D"/>
    <w:rsid w:val="1CAE64BA"/>
    <w:rsid w:val="1D13631D"/>
    <w:rsid w:val="1D8F13D6"/>
    <w:rsid w:val="1D954C16"/>
    <w:rsid w:val="1DFF4D3B"/>
    <w:rsid w:val="1E9E60BA"/>
    <w:rsid w:val="1EA55E6B"/>
    <w:rsid w:val="20A30D32"/>
    <w:rsid w:val="20AB40E5"/>
    <w:rsid w:val="20B67B56"/>
    <w:rsid w:val="21130FE1"/>
    <w:rsid w:val="21E04383"/>
    <w:rsid w:val="221A1EFC"/>
    <w:rsid w:val="22231EEC"/>
    <w:rsid w:val="222362AA"/>
    <w:rsid w:val="222C7018"/>
    <w:rsid w:val="22421B7E"/>
    <w:rsid w:val="22E46679"/>
    <w:rsid w:val="236A189F"/>
    <w:rsid w:val="24435D01"/>
    <w:rsid w:val="26492DAF"/>
    <w:rsid w:val="26E43247"/>
    <w:rsid w:val="27084C7D"/>
    <w:rsid w:val="27277424"/>
    <w:rsid w:val="276500BD"/>
    <w:rsid w:val="27AC663B"/>
    <w:rsid w:val="291F0979"/>
    <w:rsid w:val="292559B5"/>
    <w:rsid w:val="2A3A138D"/>
    <w:rsid w:val="2A9860B3"/>
    <w:rsid w:val="2AA27A01"/>
    <w:rsid w:val="2ABE3D6C"/>
    <w:rsid w:val="2ADE61BC"/>
    <w:rsid w:val="2BE912BD"/>
    <w:rsid w:val="2C1673A0"/>
    <w:rsid w:val="2C950AFD"/>
    <w:rsid w:val="2CFB65DB"/>
    <w:rsid w:val="2D541B37"/>
    <w:rsid w:val="2DA4527D"/>
    <w:rsid w:val="2DE368BD"/>
    <w:rsid w:val="2EC13427"/>
    <w:rsid w:val="2F3DF6F9"/>
    <w:rsid w:val="2F4656ED"/>
    <w:rsid w:val="2F6C3D1A"/>
    <w:rsid w:val="2F8E065C"/>
    <w:rsid w:val="307F0AD6"/>
    <w:rsid w:val="30EF2672"/>
    <w:rsid w:val="310E5321"/>
    <w:rsid w:val="311D7312"/>
    <w:rsid w:val="31401CC9"/>
    <w:rsid w:val="31CD1F46"/>
    <w:rsid w:val="32290301"/>
    <w:rsid w:val="325F499D"/>
    <w:rsid w:val="32EE272E"/>
    <w:rsid w:val="32F449CC"/>
    <w:rsid w:val="33447681"/>
    <w:rsid w:val="336F436C"/>
    <w:rsid w:val="33894A12"/>
    <w:rsid w:val="33BE3E31"/>
    <w:rsid w:val="33EA73D7"/>
    <w:rsid w:val="3403437E"/>
    <w:rsid w:val="347245F8"/>
    <w:rsid w:val="34996AB2"/>
    <w:rsid w:val="34A518C5"/>
    <w:rsid w:val="34AF347E"/>
    <w:rsid w:val="34C50230"/>
    <w:rsid w:val="360A60B7"/>
    <w:rsid w:val="36271029"/>
    <w:rsid w:val="36604982"/>
    <w:rsid w:val="36A72CFB"/>
    <w:rsid w:val="36C94D6E"/>
    <w:rsid w:val="37623CD1"/>
    <w:rsid w:val="37785A3D"/>
    <w:rsid w:val="37A9696A"/>
    <w:rsid w:val="37ED3FFC"/>
    <w:rsid w:val="37F82BA8"/>
    <w:rsid w:val="38503084"/>
    <w:rsid w:val="38775503"/>
    <w:rsid w:val="38B844F1"/>
    <w:rsid w:val="38D64C6F"/>
    <w:rsid w:val="38EB6989"/>
    <w:rsid w:val="39F2758E"/>
    <w:rsid w:val="3AC32CD9"/>
    <w:rsid w:val="3B882551"/>
    <w:rsid w:val="3BC767C4"/>
    <w:rsid w:val="3C636521"/>
    <w:rsid w:val="3C917532"/>
    <w:rsid w:val="3CFB49AC"/>
    <w:rsid w:val="3EB66B30"/>
    <w:rsid w:val="3F281272"/>
    <w:rsid w:val="3F7F0DB9"/>
    <w:rsid w:val="3FCF4923"/>
    <w:rsid w:val="400F0F1A"/>
    <w:rsid w:val="40315CCD"/>
    <w:rsid w:val="406405D3"/>
    <w:rsid w:val="40EA34E1"/>
    <w:rsid w:val="4127220C"/>
    <w:rsid w:val="41326E0A"/>
    <w:rsid w:val="415B23B8"/>
    <w:rsid w:val="416A46C9"/>
    <w:rsid w:val="41887CE6"/>
    <w:rsid w:val="425F3DF0"/>
    <w:rsid w:val="429A6A15"/>
    <w:rsid w:val="43087E22"/>
    <w:rsid w:val="4361616C"/>
    <w:rsid w:val="43F12245"/>
    <w:rsid w:val="442A5E1B"/>
    <w:rsid w:val="44303AA2"/>
    <w:rsid w:val="443F48EF"/>
    <w:rsid w:val="446C55DF"/>
    <w:rsid w:val="44856F40"/>
    <w:rsid w:val="44906321"/>
    <w:rsid w:val="44996A93"/>
    <w:rsid w:val="4529452B"/>
    <w:rsid w:val="45476ABD"/>
    <w:rsid w:val="460C5E7C"/>
    <w:rsid w:val="46F506BE"/>
    <w:rsid w:val="482673A6"/>
    <w:rsid w:val="48624E3E"/>
    <w:rsid w:val="486763E6"/>
    <w:rsid w:val="489363E0"/>
    <w:rsid w:val="49311755"/>
    <w:rsid w:val="49354BC5"/>
    <w:rsid w:val="493B3D7A"/>
    <w:rsid w:val="494D707A"/>
    <w:rsid w:val="49581E0E"/>
    <w:rsid w:val="4983512D"/>
    <w:rsid w:val="499F2F4F"/>
    <w:rsid w:val="49C83E68"/>
    <w:rsid w:val="4A3C3916"/>
    <w:rsid w:val="4A572963"/>
    <w:rsid w:val="4A715B44"/>
    <w:rsid w:val="4AF42934"/>
    <w:rsid w:val="4B092A7A"/>
    <w:rsid w:val="4B6C4B6D"/>
    <w:rsid w:val="4BB6176C"/>
    <w:rsid w:val="4C1D2A3A"/>
    <w:rsid w:val="4C544317"/>
    <w:rsid w:val="4CBF147B"/>
    <w:rsid w:val="4CD038C6"/>
    <w:rsid w:val="4D5F138C"/>
    <w:rsid w:val="4D633045"/>
    <w:rsid w:val="4D893055"/>
    <w:rsid w:val="4D9F1383"/>
    <w:rsid w:val="4DAF4EA7"/>
    <w:rsid w:val="4DDB6FF8"/>
    <w:rsid w:val="4E2456D3"/>
    <w:rsid w:val="4E3279B2"/>
    <w:rsid w:val="4EEB6AFA"/>
    <w:rsid w:val="4F5A623C"/>
    <w:rsid w:val="4F9C7EC6"/>
    <w:rsid w:val="4FA926B2"/>
    <w:rsid w:val="4FEB53AE"/>
    <w:rsid w:val="50303865"/>
    <w:rsid w:val="503A71DD"/>
    <w:rsid w:val="506C33AA"/>
    <w:rsid w:val="50CD4C68"/>
    <w:rsid w:val="51621046"/>
    <w:rsid w:val="517045F2"/>
    <w:rsid w:val="518C2767"/>
    <w:rsid w:val="52155945"/>
    <w:rsid w:val="52233CD4"/>
    <w:rsid w:val="528652DE"/>
    <w:rsid w:val="52A778B5"/>
    <w:rsid w:val="53461412"/>
    <w:rsid w:val="53B47FCE"/>
    <w:rsid w:val="53ED7E28"/>
    <w:rsid w:val="542E593B"/>
    <w:rsid w:val="542E7FC4"/>
    <w:rsid w:val="55185E40"/>
    <w:rsid w:val="552803A8"/>
    <w:rsid w:val="55DB3175"/>
    <w:rsid w:val="5679320B"/>
    <w:rsid w:val="577F0680"/>
    <w:rsid w:val="57AC301B"/>
    <w:rsid w:val="57B82AF7"/>
    <w:rsid w:val="57CC3212"/>
    <w:rsid w:val="57D346B2"/>
    <w:rsid w:val="57FE314A"/>
    <w:rsid w:val="58405C91"/>
    <w:rsid w:val="586A718D"/>
    <w:rsid w:val="58935F89"/>
    <w:rsid w:val="58D05D7D"/>
    <w:rsid w:val="59E34D97"/>
    <w:rsid w:val="5A117A9D"/>
    <w:rsid w:val="5AAB71EA"/>
    <w:rsid w:val="5B8B5578"/>
    <w:rsid w:val="5BA02E96"/>
    <w:rsid w:val="5BB30DD3"/>
    <w:rsid w:val="5C063CDB"/>
    <w:rsid w:val="5C072DC6"/>
    <w:rsid w:val="5C3A1DFB"/>
    <w:rsid w:val="5C5E240A"/>
    <w:rsid w:val="5C7753F5"/>
    <w:rsid w:val="5CA84B2C"/>
    <w:rsid w:val="5CB31FAA"/>
    <w:rsid w:val="5DA723F3"/>
    <w:rsid w:val="5DCC4F2E"/>
    <w:rsid w:val="5DF60ABE"/>
    <w:rsid w:val="5E5C046D"/>
    <w:rsid w:val="5E85036A"/>
    <w:rsid w:val="5F693583"/>
    <w:rsid w:val="5F694721"/>
    <w:rsid w:val="5FBA4B4F"/>
    <w:rsid w:val="600B4417"/>
    <w:rsid w:val="60E4720A"/>
    <w:rsid w:val="61236D4E"/>
    <w:rsid w:val="61402BC8"/>
    <w:rsid w:val="62402664"/>
    <w:rsid w:val="626E2CEE"/>
    <w:rsid w:val="6296495A"/>
    <w:rsid w:val="62A46DF3"/>
    <w:rsid w:val="62AC0373"/>
    <w:rsid w:val="62C51300"/>
    <w:rsid w:val="62E278F0"/>
    <w:rsid w:val="637614AE"/>
    <w:rsid w:val="63A1155A"/>
    <w:rsid w:val="63C9049F"/>
    <w:rsid w:val="64053248"/>
    <w:rsid w:val="6486074F"/>
    <w:rsid w:val="656D198D"/>
    <w:rsid w:val="66D460EA"/>
    <w:rsid w:val="66F924D1"/>
    <w:rsid w:val="67A45B43"/>
    <w:rsid w:val="67B80532"/>
    <w:rsid w:val="6811392D"/>
    <w:rsid w:val="681A18DB"/>
    <w:rsid w:val="682B3CA5"/>
    <w:rsid w:val="68E44AD0"/>
    <w:rsid w:val="699D40B0"/>
    <w:rsid w:val="6A2D35B2"/>
    <w:rsid w:val="6A812905"/>
    <w:rsid w:val="6A84666E"/>
    <w:rsid w:val="6ADC3D2B"/>
    <w:rsid w:val="6ADF2765"/>
    <w:rsid w:val="6B2F392F"/>
    <w:rsid w:val="6B857AC3"/>
    <w:rsid w:val="6BDB4526"/>
    <w:rsid w:val="6C007D3D"/>
    <w:rsid w:val="6C0F53E5"/>
    <w:rsid w:val="6C28284F"/>
    <w:rsid w:val="6C8A52B4"/>
    <w:rsid w:val="6C9E4ABA"/>
    <w:rsid w:val="6CCE0EE6"/>
    <w:rsid w:val="6D205241"/>
    <w:rsid w:val="6D2C5575"/>
    <w:rsid w:val="6D7A7F91"/>
    <w:rsid w:val="6DA700B4"/>
    <w:rsid w:val="6DD3124E"/>
    <w:rsid w:val="6E8C0087"/>
    <w:rsid w:val="6ECC76A7"/>
    <w:rsid w:val="6F5F10A7"/>
    <w:rsid w:val="6F8B4766"/>
    <w:rsid w:val="6FF57E17"/>
    <w:rsid w:val="7012256C"/>
    <w:rsid w:val="70A127E6"/>
    <w:rsid w:val="70CC5D8E"/>
    <w:rsid w:val="70F2143B"/>
    <w:rsid w:val="71090821"/>
    <w:rsid w:val="71317DA5"/>
    <w:rsid w:val="724F6F99"/>
    <w:rsid w:val="732E0930"/>
    <w:rsid w:val="73D946A7"/>
    <w:rsid w:val="75167E8B"/>
    <w:rsid w:val="754D2CD6"/>
    <w:rsid w:val="756B6971"/>
    <w:rsid w:val="75CE36EB"/>
    <w:rsid w:val="75F145C2"/>
    <w:rsid w:val="75F50127"/>
    <w:rsid w:val="764607F4"/>
    <w:rsid w:val="76544B51"/>
    <w:rsid w:val="770E2377"/>
    <w:rsid w:val="7743439F"/>
    <w:rsid w:val="7771226C"/>
    <w:rsid w:val="7826607A"/>
    <w:rsid w:val="78555F4B"/>
    <w:rsid w:val="787B59DA"/>
    <w:rsid w:val="79073954"/>
    <w:rsid w:val="793E6318"/>
    <w:rsid w:val="79DD59E6"/>
    <w:rsid w:val="7A330BD7"/>
    <w:rsid w:val="7AE446F6"/>
    <w:rsid w:val="7AFE2BAC"/>
    <w:rsid w:val="7B437F82"/>
    <w:rsid w:val="7B827A6B"/>
    <w:rsid w:val="7C5C4760"/>
    <w:rsid w:val="7C9178F1"/>
    <w:rsid w:val="7CCD45E3"/>
    <w:rsid w:val="7CDC4229"/>
    <w:rsid w:val="7CEF2E07"/>
    <w:rsid w:val="7D5E15B0"/>
    <w:rsid w:val="7E253735"/>
    <w:rsid w:val="7E38224C"/>
    <w:rsid w:val="7E412536"/>
    <w:rsid w:val="7E85350C"/>
    <w:rsid w:val="7EA40C99"/>
    <w:rsid w:val="7EEB5927"/>
    <w:rsid w:val="7FAD0309"/>
    <w:rsid w:val="FD71C1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u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basedOn w:val="9"/>
    <w:qFormat/>
    <w:uiPriority w:val="20"/>
    <w:rPr>
      <w:i/>
    </w:rPr>
  </w:style>
  <w:style w:type="character" w:customStyle="1" w:styleId="12">
    <w:name w:val="日期 字符"/>
    <w:basedOn w:val="9"/>
    <w:link w:val="3"/>
    <w:semiHidden/>
    <w:qFormat/>
    <w:uiPriority w:val="99"/>
    <w:rPr>
      <w:rFonts w:ascii="Calibri" w:hAnsi="Calibri" w:eastAsia="宋体" w:cs="Times New Roman"/>
      <w:szCs w:val="24"/>
    </w:rPr>
  </w:style>
  <w:style w:type="character" w:customStyle="1" w:styleId="13">
    <w:name w:val="页眉 字符"/>
    <w:basedOn w:val="9"/>
    <w:link w:val="5"/>
    <w:qFormat/>
    <w:uiPriority w:val="99"/>
    <w:rPr>
      <w:rFonts w:ascii="Calibri" w:hAnsi="Calibri" w:eastAsia="宋体" w:cs="Times New Roman"/>
      <w:sz w:val="18"/>
      <w:szCs w:val="18"/>
    </w:rPr>
  </w:style>
  <w:style w:type="character" w:customStyle="1" w:styleId="14">
    <w:name w:val="页脚 字符"/>
    <w:basedOn w:val="9"/>
    <w:link w:val="4"/>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5364</Words>
  <Characters>5445</Characters>
  <Lines>57</Lines>
  <Paragraphs>16</Paragraphs>
  <TotalTime>35</TotalTime>
  <ScaleCrop>false</ScaleCrop>
  <LinksUpToDate>false</LinksUpToDate>
  <CharactersWithSpaces>5451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2021-10-12T09:56:00Z</dcterms:created>
  <dc:creator>PC</dc:creator>
  <cp:lastModifiedBy>administratorss</cp:lastModifiedBy>
  <dcterms:modified xsi:type="dcterms:W3CDTF">2023-06-15T01:20:02Z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EDEE33E28DB6466FB63E02E5BFFA328D</vt:lpwstr>
  </property>
</Properties>
</file>